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B9" w:rsidRPr="00AA4A0B" w:rsidRDefault="00FE26B9" w:rsidP="008900B9">
      <w:pPr>
        <w:pStyle w:val="BETitreFiche"/>
        <w:rPr>
          <w:lang w:val="nl-NL"/>
        </w:rPr>
      </w:pPr>
      <w:r w:rsidRPr="00AA4A0B">
        <w:rPr>
          <w:lang w:val="nl-NL"/>
        </w:rPr>
        <w:t xml:space="preserve">DE HORECASECTOR IN HET bRUSSELS HOOFDSTEDELIJK GEWEST </w:t>
      </w:r>
    </w:p>
    <w:p w:rsidR="00A64081" w:rsidRPr="00AA4A0B" w:rsidRDefault="004A1374">
      <w:pPr>
        <w:pStyle w:val="BESousTitreFiche"/>
        <w:rPr>
          <w:lang w:val="nl-NL"/>
        </w:rPr>
      </w:pPr>
      <w:r w:rsidRPr="00AA4A0B">
        <w:rPr>
          <w:lang w:val="nl-NL"/>
        </w:rPr>
        <w:t xml:space="preserve">Analyse </w:t>
      </w:r>
      <w:r w:rsidR="00FE26B9" w:rsidRPr="00AA4A0B">
        <w:rPr>
          <w:lang w:val="nl-NL"/>
        </w:rPr>
        <w:t xml:space="preserve">van </w:t>
      </w:r>
      <w:r w:rsidR="00682374" w:rsidRPr="00AA4A0B">
        <w:rPr>
          <w:lang w:val="nl-NL"/>
        </w:rPr>
        <w:t>de afvalberg</w:t>
      </w:r>
      <w:r w:rsidR="00FE26B9" w:rsidRPr="00AA4A0B">
        <w:rPr>
          <w:lang w:val="nl-NL"/>
        </w:rPr>
        <w:t xml:space="preserve">, </w:t>
      </w:r>
      <w:r w:rsidR="00682374" w:rsidRPr="00AA4A0B">
        <w:rPr>
          <w:lang w:val="nl-NL"/>
        </w:rPr>
        <w:t>afvalstromen en afval</w:t>
      </w:r>
      <w:r w:rsidR="00FE26B9" w:rsidRPr="00AA4A0B">
        <w:rPr>
          <w:lang w:val="nl-NL"/>
        </w:rPr>
        <w:t>prevent</w:t>
      </w:r>
      <w:r w:rsidR="00682374" w:rsidRPr="00AA4A0B">
        <w:rPr>
          <w:lang w:val="nl-NL"/>
        </w:rPr>
        <w:t>ie-</w:t>
      </w:r>
      <w:r w:rsidR="0081342C">
        <w:rPr>
          <w:lang w:val="nl-NL"/>
        </w:rPr>
        <w:t xml:space="preserve"> </w:t>
      </w:r>
      <w:r w:rsidR="00682374" w:rsidRPr="00AA4A0B">
        <w:rPr>
          <w:lang w:val="nl-NL"/>
        </w:rPr>
        <w:t xml:space="preserve">en beheerpraktijken </w:t>
      </w:r>
      <w:r w:rsidR="006804B9" w:rsidRPr="00AA4A0B">
        <w:rPr>
          <w:lang w:val="nl-NL"/>
        </w:rPr>
        <w:br/>
      </w:r>
    </w:p>
    <w:p w:rsidR="008900B9" w:rsidRPr="00AA4A0B" w:rsidRDefault="00FE26B9" w:rsidP="008900B9">
      <w:pPr>
        <w:pStyle w:val="BETitreNiveau1"/>
        <w:rPr>
          <w:lang w:val="nl-NL"/>
        </w:rPr>
      </w:pPr>
      <w:r w:rsidRPr="00AA4A0B">
        <w:rPr>
          <w:lang w:val="nl-NL"/>
        </w:rPr>
        <w:t>Inleiding</w:t>
      </w:r>
    </w:p>
    <w:p w:rsidR="00044750" w:rsidRPr="00AA4A0B" w:rsidRDefault="00FE26B9" w:rsidP="007F3482">
      <w:pPr>
        <w:rPr>
          <w:lang w:val="nl-NL"/>
        </w:rPr>
      </w:pPr>
      <w:r w:rsidRPr="00AA4A0B">
        <w:rPr>
          <w:lang w:val="nl-NL"/>
        </w:rPr>
        <w:t>De horecasector zou in het Brussels Hoof</w:t>
      </w:r>
      <w:r w:rsidR="00C65500" w:rsidRPr="00AA4A0B">
        <w:rPr>
          <w:lang w:val="nl-NL"/>
        </w:rPr>
        <w:t xml:space="preserve">dstedelijk Gewest iets meer dan </w:t>
      </w:r>
      <w:r w:rsidRPr="00AA4A0B">
        <w:rPr>
          <w:lang w:val="nl-NL"/>
        </w:rPr>
        <w:t xml:space="preserve">5500 etablissementen </w:t>
      </w:r>
      <w:r w:rsidR="0081342C">
        <w:rPr>
          <w:lang w:val="nl-NL"/>
        </w:rPr>
        <w:t>om</w:t>
      </w:r>
      <w:r w:rsidRPr="00AA4A0B">
        <w:rPr>
          <w:lang w:val="nl-NL"/>
        </w:rPr>
        <w:t>vatten</w:t>
      </w:r>
      <w:r w:rsidR="00044750" w:rsidRPr="00AA4A0B">
        <w:rPr>
          <w:rStyle w:val="Appelnotedebasdep"/>
          <w:lang w:val="nl-NL"/>
        </w:rPr>
        <w:footnoteReference w:id="1"/>
      </w:r>
      <w:r w:rsidRPr="00AA4A0B">
        <w:rPr>
          <w:lang w:val="nl-NL"/>
        </w:rPr>
        <w:t>. Het gaat dus om een prioritaire sector van het Gewest. Het 4</w:t>
      </w:r>
      <w:r w:rsidRPr="00AA4A0B">
        <w:rPr>
          <w:vertAlign w:val="superscript"/>
          <w:lang w:val="nl-NL"/>
        </w:rPr>
        <w:t>de</w:t>
      </w:r>
      <w:r w:rsidRPr="00AA4A0B">
        <w:rPr>
          <w:lang w:val="nl-NL"/>
        </w:rPr>
        <w:t xml:space="preserve"> Plan voor de Preventie en het Beheer van Afvalstoffen in het Brussels Hoofdstedelijk Gewest (2010) voorziet trouwens </w:t>
      </w:r>
      <w:r w:rsidR="0081342C">
        <w:rPr>
          <w:lang w:val="nl-NL"/>
        </w:rPr>
        <w:t xml:space="preserve">in </w:t>
      </w:r>
      <w:r w:rsidRPr="00AA4A0B">
        <w:rPr>
          <w:lang w:val="nl-NL"/>
        </w:rPr>
        <w:t>meerdere voorschriften voor de sector. Deze voorschriften gaan bv. o</w:t>
      </w:r>
      <w:r w:rsidR="00682374" w:rsidRPr="00AA4A0B">
        <w:rPr>
          <w:lang w:val="nl-NL"/>
        </w:rPr>
        <w:t xml:space="preserve">ver voedselverspilling en </w:t>
      </w:r>
      <w:r w:rsidR="0081342C">
        <w:rPr>
          <w:lang w:val="nl-NL"/>
        </w:rPr>
        <w:t>overv</w:t>
      </w:r>
      <w:r w:rsidRPr="00AA4A0B">
        <w:rPr>
          <w:lang w:val="nl-NL"/>
        </w:rPr>
        <w:t>erpakking, maar ook over de ontwikkeling v</w:t>
      </w:r>
      <w:r w:rsidR="00044750" w:rsidRPr="00AA4A0B">
        <w:rPr>
          <w:lang w:val="nl-NL"/>
        </w:rPr>
        <w:t xml:space="preserve">an specifieke proefprojecten </w:t>
      </w:r>
      <w:r w:rsidR="0081342C">
        <w:rPr>
          <w:lang w:val="nl-NL"/>
        </w:rPr>
        <w:t xml:space="preserve">rond </w:t>
      </w:r>
      <w:r w:rsidRPr="00AA4A0B">
        <w:rPr>
          <w:lang w:val="nl-NL"/>
        </w:rPr>
        <w:t>de verzameling van organisch afval.</w:t>
      </w:r>
      <w:r w:rsidR="00AB2754">
        <w:rPr>
          <w:lang w:val="nl-NL"/>
        </w:rPr>
        <w:t xml:space="preserve"> Het was dus eerst en vooral belangrijk</w:t>
      </w:r>
      <w:r w:rsidRPr="00AA4A0B">
        <w:rPr>
          <w:lang w:val="nl-NL"/>
        </w:rPr>
        <w:t xml:space="preserve"> een betere</w:t>
      </w:r>
      <w:r w:rsidR="00044750" w:rsidRPr="00AA4A0B">
        <w:rPr>
          <w:lang w:val="nl-NL"/>
        </w:rPr>
        <w:t xml:space="preserve"> kennis van de cijfers</w:t>
      </w:r>
      <w:r w:rsidR="00AB2754">
        <w:rPr>
          <w:lang w:val="nl-NL"/>
        </w:rPr>
        <w:t xml:space="preserve"> over</w:t>
      </w:r>
      <w:r w:rsidRPr="00AA4A0B">
        <w:rPr>
          <w:lang w:val="nl-NL"/>
        </w:rPr>
        <w:t xml:space="preserve"> de belangrijkst</w:t>
      </w:r>
      <w:r w:rsidR="00BD0D48" w:rsidRPr="00AA4A0B">
        <w:rPr>
          <w:lang w:val="nl-NL"/>
        </w:rPr>
        <w:t>e afvalstromen, de wijze van beheer</w:t>
      </w:r>
      <w:r w:rsidRPr="00AA4A0B">
        <w:rPr>
          <w:lang w:val="nl-NL"/>
        </w:rPr>
        <w:t xml:space="preserve"> en </w:t>
      </w:r>
      <w:r w:rsidR="00561C4C" w:rsidRPr="00AA4A0B">
        <w:rPr>
          <w:lang w:val="nl-NL"/>
        </w:rPr>
        <w:t>de praktijken op het terrein</w:t>
      </w:r>
      <w:r w:rsidR="00AB2754">
        <w:rPr>
          <w:lang w:val="nl-NL"/>
        </w:rPr>
        <w:t xml:space="preserve"> te vergaren</w:t>
      </w:r>
      <w:r w:rsidR="00561C4C" w:rsidRPr="00AA4A0B">
        <w:rPr>
          <w:lang w:val="nl-NL"/>
        </w:rPr>
        <w:t xml:space="preserve">. </w:t>
      </w:r>
      <w:r w:rsidR="00BD0D48" w:rsidRPr="00AA4A0B">
        <w:rPr>
          <w:lang w:val="nl-NL"/>
        </w:rPr>
        <w:t>Om dit doel te bereiken werd de</w:t>
      </w:r>
      <w:r w:rsidR="00682374" w:rsidRPr="00AA4A0B">
        <w:rPr>
          <w:lang w:val="nl-NL"/>
        </w:rPr>
        <w:t xml:space="preserve"> studie </w:t>
      </w:r>
      <w:r w:rsidR="00681301">
        <w:rPr>
          <w:color w:val="auto"/>
          <w:lang w:val="nl-NL"/>
        </w:rPr>
        <w:t>“</w:t>
      </w:r>
      <w:r w:rsidR="00682374" w:rsidRPr="00AA4A0B">
        <w:rPr>
          <w:lang w:val="nl-NL"/>
        </w:rPr>
        <w:t xml:space="preserve">Analyse van de afvalberg, </w:t>
      </w:r>
      <w:r w:rsidR="008B7BBE" w:rsidRPr="00AA4A0B">
        <w:rPr>
          <w:lang w:val="nl-NL"/>
        </w:rPr>
        <w:t>afvalstromen en afvalpreventie en –beheerpraktijken in de horecasector in het Brusse</w:t>
      </w:r>
      <w:r w:rsidR="00044750" w:rsidRPr="00AA4A0B">
        <w:rPr>
          <w:lang w:val="nl-NL"/>
        </w:rPr>
        <w:t>ls Hoofdstedelijk Gewest (BHG)</w:t>
      </w:r>
      <w:r w:rsidR="00681301">
        <w:rPr>
          <w:lang w:val="nl-NL"/>
        </w:rPr>
        <w:t>”</w:t>
      </w:r>
      <w:r w:rsidR="00BD0D48" w:rsidRPr="00AA4A0B">
        <w:rPr>
          <w:lang w:val="nl-NL"/>
        </w:rPr>
        <w:t xml:space="preserve"> in 2012 </w:t>
      </w:r>
      <w:r w:rsidR="008B7BBE" w:rsidRPr="00AA4A0B">
        <w:rPr>
          <w:lang w:val="nl-NL"/>
        </w:rPr>
        <w:t>door het consortium Intertek RDC en Ecores</w:t>
      </w:r>
      <w:r w:rsidR="00AB2754" w:rsidRPr="00AB2754">
        <w:rPr>
          <w:lang w:val="nl-NL"/>
        </w:rPr>
        <w:t xml:space="preserve"> </w:t>
      </w:r>
      <w:r w:rsidR="00AB2754" w:rsidRPr="00AA4A0B">
        <w:rPr>
          <w:lang w:val="nl-NL"/>
        </w:rPr>
        <w:t>uitgevoerd</w:t>
      </w:r>
      <w:r w:rsidR="008B7BBE" w:rsidRPr="00AA4A0B">
        <w:rPr>
          <w:lang w:val="nl-NL"/>
        </w:rPr>
        <w:t>. Een focus op organisch afval en voedselverspilling vervolledigt de analyse in het kader van het Europese Green Cook</w:t>
      </w:r>
      <w:r w:rsidR="00044750" w:rsidRPr="00AA4A0B">
        <w:rPr>
          <w:rStyle w:val="Appelnotedebasdep"/>
          <w:lang w:val="nl-NL"/>
        </w:rPr>
        <w:footnoteReference w:id="2"/>
      </w:r>
      <w:r w:rsidR="008B7BBE" w:rsidRPr="00AA4A0B">
        <w:rPr>
          <w:lang w:val="nl-NL"/>
        </w:rPr>
        <w:t xml:space="preserve">-project waarvan het Instituut een partner is. </w:t>
      </w:r>
    </w:p>
    <w:p w:rsidR="00044750" w:rsidRPr="00AA4A0B" w:rsidRDefault="00044750" w:rsidP="007F3482">
      <w:pPr>
        <w:rPr>
          <w:lang w:val="nl-NL"/>
        </w:rPr>
      </w:pPr>
    </w:p>
    <w:p w:rsidR="00677AA6" w:rsidRPr="00AA4A0B" w:rsidRDefault="00677AA6" w:rsidP="007F3482">
      <w:pPr>
        <w:rPr>
          <w:lang w:val="nl-NL"/>
        </w:rPr>
      </w:pPr>
    </w:p>
    <w:p w:rsidR="007F3482" w:rsidRPr="00AA4A0B" w:rsidRDefault="008A435F" w:rsidP="007F3482">
      <w:pPr>
        <w:rPr>
          <w:lang w:val="nl-NL"/>
        </w:rPr>
      </w:pPr>
      <w:r w:rsidRPr="00AA4A0B">
        <w:rPr>
          <w:lang w:val="nl-NL"/>
        </w:rPr>
        <w:t>Deze infofiche stelt een synthese van deze studie voor. Het studiegebied bestrijkt de horecasector in het BHG, met uitzondering van grootkeukens en traiteurs. De gegevens op het terrein werden in 2012 verzameld. Om de gestelde doelen te ber</w:t>
      </w:r>
      <w:r w:rsidR="00BD0D48" w:rsidRPr="00AA4A0B">
        <w:rPr>
          <w:lang w:val="nl-NL"/>
        </w:rPr>
        <w:t>eiken</w:t>
      </w:r>
      <w:r w:rsidR="00AA4A0B">
        <w:rPr>
          <w:lang w:val="nl-NL"/>
        </w:rPr>
        <w:t>,</w:t>
      </w:r>
      <w:r w:rsidR="00BD0D48" w:rsidRPr="00AA4A0B">
        <w:rPr>
          <w:lang w:val="nl-NL"/>
        </w:rPr>
        <w:t xml:space="preserve"> combineert</w:t>
      </w:r>
      <w:r w:rsidRPr="00AA4A0B">
        <w:rPr>
          <w:lang w:val="nl-NL"/>
        </w:rPr>
        <w:t xml:space="preserve"> de studie een bibliografische</w:t>
      </w:r>
      <w:r w:rsidR="00BD0D48" w:rsidRPr="00AA4A0B">
        <w:rPr>
          <w:lang w:val="nl-NL"/>
        </w:rPr>
        <w:t xml:space="preserve"> analyse en een benchmarking met</w:t>
      </w:r>
      <w:r w:rsidRPr="00AA4A0B">
        <w:rPr>
          <w:lang w:val="nl-NL"/>
        </w:rPr>
        <w:t xml:space="preserve"> analyses op het terrein in de etablissementen. </w:t>
      </w:r>
    </w:p>
    <w:p w:rsidR="00A64081" w:rsidRPr="00AA4A0B" w:rsidRDefault="007A31D3">
      <w:pPr>
        <w:pStyle w:val="BETitreNiveau1"/>
        <w:rPr>
          <w:lang w:val="nl-NL"/>
        </w:rPr>
      </w:pPr>
      <w:r w:rsidRPr="00AA4A0B">
        <w:rPr>
          <w:lang w:val="nl-NL"/>
        </w:rPr>
        <w:t>R</w:t>
      </w:r>
      <w:r w:rsidR="008A435F" w:rsidRPr="00AA4A0B">
        <w:rPr>
          <w:lang w:val="nl-NL"/>
        </w:rPr>
        <w:t>ESULTATEN VAN</w:t>
      </w:r>
      <w:r w:rsidR="00BD0D48" w:rsidRPr="00AA4A0B">
        <w:rPr>
          <w:lang w:val="nl-NL"/>
        </w:rPr>
        <w:t xml:space="preserve"> DE STUDIe</w:t>
      </w:r>
    </w:p>
    <w:p w:rsidR="007F3482" w:rsidRPr="00AA4A0B" w:rsidRDefault="008A435F" w:rsidP="007F3482">
      <w:pPr>
        <w:pStyle w:val="BETitreNiveau2"/>
        <w:rPr>
          <w:lang w:val="nl-NL"/>
        </w:rPr>
      </w:pPr>
      <w:r w:rsidRPr="00AA4A0B">
        <w:rPr>
          <w:lang w:val="nl-NL"/>
        </w:rPr>
        <w:t xml:space="preserve">TYPERING VAN DE HORECASECTOR </w:t>
      </w:r>
    </w:p>
    <w:p w:rsidR="00323001" w:rsidRDefault="008A11F9" w:rsidP="00874225">
      <w:pPr>
        <w:rPr>
          <w:lang w:val="nl-NL"/>
        </w:rPr>
      </w:pPr>
      <w:r w:rsidRPr="00AA4A0B">
        <w:rPr>
          <w:lang w:val="nl-NL"/>
        </w:rPr>
        <w:t>Uit</w:t>
      </w:r>
      <w:r w:rsidR="008A435F" w:rsidRPr="00AA4A0B">
        <w:rPr>
          <w:lang w:val="nl-NL"/>
        </w:rPr>
        <w:t xml:space="preserve"> ontmoetingen met diverse actoren</w:t>
      </w:r>
      <w:r w:rsidR="007F3482" w:rsidRPr="00AA4A0B">
        <w:rPr>
          <w:lang w:val="nl-NL"/>
        </w:rPr>
        <w:t xml:space="preserve"> (FED </w:t>
      </w:r>
      <w:r w:rsidR="001C3EDB" w:rsidRPr="00AA4A0B">
        <w:rPr>
          <w:lang w:val="nl-NL"/>
        </w:rPr>
        <w:t>Horeca</w:t>
      </w:r>
      <w:r w:rsidR="008A435F" w:rsidRPr="00AA4A0B">
        <w:rPr>
          <w:lang w:val="nl-NL"/>
        </w:rPr>
        <w:t xml:space="preserve"> Brussel, RSZ</w:t>
      </w:r>
      <w:r w:rsidR="000A1F00" w:rsidRPr="00AA4A0B">
        <w:rPr>
          <w:lang w:val="nl-NL"/>
        </w:rPr>
        <w:t>,</w:t>
      </w:r>
      <w:r w:rsidR="007F3482" w:rsidRPr="00AA4A0B">
        <w:rPr>
          <w:lang w:val="nl-NL"/>
        </w:rPr>
        <w:t xml:space="preserve"> </w:t>
      </w:r>
      <w:r w:rsidR="008A435F" w:rsidRPr="00AA4A0B">
        <w:rPr>
          <w:lang w:val="nl-NL"/>
        </w:rPr>
        <w:t>RSVZ</w:t>
      </w:r>
      <w:r w:rsidR="000A1F00" w:rsidRPr="00AA4A0B">
        <w:rPr>
          <w:lang w:val="nl-NL"/>
        </w:rPr>
        <w:t xml:space="preserve"> e</w:t>
      </w:r>
      <w:r w:rsidR="008A435F" w:rsidRPr="00AA4A0B">
        <w:rPr>
          <w:lang w:val="nl-NL"/>
        </w:rPr>
        <w:t>n de FOD</w:t>
      </w:r>
      <w:r w:rsidR="00BE2073" w:rsidRPr="00AA4A0B">
        <w:rPr>
          <w:lang w:val="nl-NL"/>
        </w:rPr>
        <w:t xml:space="preserve"> Economie</w:t>
      </w:r>
      <w:r w:rsidR="007F3482" w:rsidRPr="00AA4A0B">
        <w:rPr>
          <w:lang w:val="nl-NL"/>
        </w:rPr>
        <w:t xml:space="preserve">) </w:t>
      </w:r>
      <w:r w:rsidR="008A435F" w:rsidRPr="00AA4A0B">
        <w:rPr>
          <w:lang w:val="nl-NL"/>
        </w:rPr>
        <w:t xml:space="preserve">en een bibliografische </w:t>
      </w:r>
      <w:r w:rsidR="0081342C">
        <w:rPr>
          <w:lang w:val="nl-NL"/>
        </w:rPr>
        <w:t>studie</w:t>
      </w:r>
      <w:r w:rsidRPr="00AA4A0B">
        <w:rPr>
          <w:lang w:val="nl-NL"/>
        </w:rPr>
        <w:t xml:space="preserve"> blijkt dat </w:t>
      </w:r>
      <w:r w:rsidR="00BD0D48" w:rsidRPr="00AA4A0B">
        <w:rPr>
          <w:lang w:val="nl-NL"/>
        </w:rPr>
        <w:t xml:space="preserve">de statistieken </w:t>
      </w:r>
      <w:r w:rsidR="0081342C">
        <w:rPr>
          <w:lang w:val="nl-NL"/>
        </w:rPr>
        <w:t>over</w:t>
      </w:r>
      <w:r w:rsidR="00BD0D48" w:rsidRPr="00AA4A0B">
        <w:rPr>
          <w:lang w:val="nl-NL"/>
        </w:rPr>
        <w:t xml:space="preserve"> </w:t>
      </w:r>
      <w:r w:rsidRPr="00AA4A0B">
        <w:rPr>
          <w:lang w:val="nl-NL"/>
        </w:rPr>
        <w:t>het aantal etablissemente</w:t>
      </w:r>
      <w:r w:rsidR="00BD0D48" w:rsidRPr="00AA4A0B">
        <w:rPr>
          <w:lang w:val="nl-NL"/>
        </w:rPr>
        <w:t>n van de sector verschillen</w:t>
      </w:r>
      <w:r w:rsidRPr="00AA4A0B">
        <w:rPr>
          <w:lang w:val="nl-NL"/>
        </w:rPr>
        <w:t xml:space="preserve"> naargelang de bron. Globaal genomen bestaat er geen gemeenschappelijke gedetailleerde nomenclatuur v</w:t>
      </w:r>
      <w:r w:rsidR="0081342C">
        <w:rPr>
          <w:lang w:val="nl-NL"/>
        </w:rPr>
        <w:t>oor</w:t>
      </w:r>
      <w:r w:rsidRPr="00AA4A0B">
        <w:rPr>
          <w:lang w:val="nl-NL"/>
        </w:rPr>
        <w:t xml:space="preserve"> de horecasector. Om een relevante stratificatie te creëren, werd een combinatie van verschillende bronnen, gesel</w:t>
      </w:r>
      <w:r w:rsidR="00BD0D48" w:rsidRPr="00AA4A0B">
        <w:rPr>
          <w:lang w:val="nl-NL"/>
        </w:rPr>
        <w:t>e</w:t>
      </w:r>
      <w:r w:rsidRPr="00AA4A0B">
        <w:rPr>
          <w:lang w:val="nl-NL"/>
        </w:rPr>
        <w:t>cteerd in functie van hun betrouwbaarheid, hun toegankelijkheid en het referentiejaar</w:t>
      </w:r>
      <w:r w:rsidR="00BD0D48" w:rsidRPr="00AA4A0B">
        <w:rPr>
          <w:lang w:val="nl-NL"/>
        </w:rPr>
        <w:t>,</w:t>
      </w:r>
      <w:r w:rsidRPr="00AA4A0B">
        <w:rPr>
          <w:lang w:val="nl-NL"/>
        </w:rPr>
        <w:t xml:space="preserve"> gebruikt. Ze is voornamelijk gebaseerd op de gegevens van de FOD Economie. De </w:t>
      </w:r>
      <w:r w:rsidR="00BD0D48" w:rsidRPr="00AA4A0B">
        <w:rPr>
          <w:lang w:val="nl-NL"/>
        </w:rPr>
        <w:t xml:space="preserve">volgende </w:t>
      </w:r>
      <w:r w:rsidRPr="00AA4A0B">
        <w:rPr>
          <w:lang w:val="nl-NL"/>
        </w:rPr>
        <w:t>afbeel</w:t>
      </w:r>
      <w:r w:rsidR="00874225">
        <w:rPr>
          <w:lang w:val="nl-NL"/>
        </w:rPr>
        <w:t>ding geeft deze typologie weer.</w:t>
      </w:r>
    </w:p>
    <w:p w:rsidR="00874225" w:rsidRDefault="00874225" w:rsidP="00874225">
      <w:pPr>
        <w:rPr>
          <w:lang w:val="nl-NL"/>
        </w:rPr>
      </w:pPr>
    </w:p>
    <w:p w:rsidR="00874225" w:rsidRDefault="00874225" w:rsidP="00874225">
      <w:pPr>
        <w:rPr>
          <w:lang w:val="nl-NL"/>
        </w:rPr>
      </w:pPr>
    </w:p>
    <w:p w:rsidR="00874225" w:rsidRDefault="00874225" w:rsidP="00874225">
      <w:pPr>
        <w:rPr>
          <w:lang w:val="nl-NL"/>
        </w:rPr>
      </w:pPr>
    </w:p>
    <w:p w:rsidR="00874225" w:rsidRDefault="00874225" w:rsidP="00874225">
      <w:pPr>
        <w:rPr>
          <w:lang w:val="nl-NL"/>
        </w:rPr>
      </w:pPr>
    </w:p>
    <w:tbl>
      <w:tblPr>
        <w:tblStyle w:val="Grilledutableau"/>
        <w:tblW w:w="0" w:type="auto"/>
        <w:tblInd w:w="851" w:type="dxa"/>
        <w:tblLayout w:type="fixed"/>
        <w:tblLook w:val="04A0" w:firstRow="1" w:lastRow="0" w:firstColumn="1" w:lastColumn="0" w:noHBand="0" w:noVBand="1"/>
      </w:tblPr>
      <w:tblGrid>
        <w:gridCol w:w="1100"/>
        <w:gridCol w:w="2551"/>
        <w:gridCol w:w="3261"/>
        <w:gridCol w:w="1948"/>
      </w:tblGrid>
      <w:tr w:rsidR="00874225" w:rsidRPr="00874225" w:rsidTr="00874225">
        <w:tc>
          <w:tcPr>
            <w:tcW w:w="1100" w:type="dxa"/>
            <w:vAlign w:val="center"/>
          </w:tcPr>
          <w:p w:rsidR="007A4CBA" w:rsidRPr="00874225" w:rsidRDefault="00874225" w:rsidP="00874225">
            <w:pPr>
              <w:keepNext/>
              <w:tabs>
                <w:tab w:val="left" w:pos="884"/>
              </w:tabs>
              <w:ind w:left="0" w:right="33"/>
              <w:jc w:val="left"/>
              <w:rPr>
                <w:sz w:val="18"/>
                <w:szCs w:val="18"/>
                <w:lang w:val="nl-NL"/>
              </w:rPr>
            </w:pPr>
            <w:r>
              <w:rPr>
                <w:sz w:val="18"/>
                <w:szCs w:val="18"/>
                <w:lang w:val="nl-NL"/>
              </w:rPr>
              <w:lastRenderedPageBreak/>
              <w:t>Sector</w:t>
            </w:r>
          </w:p>
        </w:tc>
        <w:tc>
          <w:tcPr>
            <w:tcW w:w="2551" w:type="dxa"/>
            <w:vAlign w:val="center"/>
          </w:tcPr>
          <w:p w:rsidR="007A4CBA" w:rsidRPr="00874225" w:rsidRDefault="007A4CBA" w:rsidP="00874225">
            <w:pPr>
              <w:keepNext/>
              <w:ind w:left="0"/>
              <w:jc w:val="left"/>
              <w:rPr>
                <w:sz w:val="18"/>
                <w:szCs w:val="18"/>
                <w:lang w:val="nl-NL"/>
              </w:rPr>
            </w:pPr>
            <w:proofErr w:type="spellStart"/>
            <w:r w:rsidRPr="00874225">
              <w:rPr>
                <w:sz w:val="18"/>
                <w:szCs w:val="18"/>
                <w:lang w:val="nl-NL"/>
              </w:rPr>
              <w:t>Subsectoren</w:t>
            </w:r>
            <w:proofErr w:type="spellEnd"/>
          </w:p>
        </w:tc>
        <w:tc>
          <w:tcPr>
            <w:tcW w:w="3261" w:type="dxa"/>
            <w:vAlign w:val="center"/>
          </w:tcPr>
          <w:p w:rsidR="007A4CBA" w:rsidRPr="00874225" w:rsidRDefault="007A4CBA" w:rsidP="00874225">
            <w:pPr>
              <w:keepNext/>
              <w:ind w:left="0"/>
              <w:jc w:val="left"/>
              <w:rPr>
                <w:sz w:val="18"/>
                <w:szCs w:val="18"/>
                <w:lang w:val="nl-NL"/>
              </w:rPr>
            </w:pPr>
            <w:r w:rsidRPr="00874225">
              <w:rPr>
                <w:sz w:val="18"/>
                <w:szCs w:val="18"/>
                <w:lang w:val="nl-NL"/>
              </w:rPr>
              <w:t>Categorieën</w:t>
            </w:r>
          </w:p>
        </w:tc>
        <w:tc>
          <w:tcPr>
            <w:tcW w:w="1948" w:type="dxa"/>
            <w:vAlign w:val="center"/>
          </w:tcPr>
          <w:p w:rsidR="007A4CBA" w:rsidRPr="00874225" w:rsidRDefault="00874225" w:rsidP="00874225">
            <w:pPr>
              <w:keepNext/>
              <w:ind w:left="0" w:right="139"/>
              <w:jc w:val="left"/>
              <w:rPr>
                <w:sz w:val="18"/>
                <w:szCs w:val="18"/>
                <w:lang w:val="nl-NL"/>
              </w:rPr>
            </w:pPr>
            <w:r>
              <w:rPr>
                <w:sz w:val="18"/>
                <w:szCs w:val="18"/>
                <w:lang w:val="nl-NL"/>
              </w:rPr>
              <w:t xml:space="preserve"># </w:t>
            </w:r>
            <w:proofErr w:type="spellStart"/>
            <w:r>
              <w:rPr>
                <w:sz w:val="18"/>
                <w:szCs w:val="18"/>
                <w:lang w:val="nl-NL"/>
              </w:rPr>
              <w:t>etab</w:t>
            </w:r>
            <w:proofErr w:type="spellEnd"/>
            <w:r>
              <w:rPr>
                <w:sz w:val="18"/>
                <w:szCs w:val="18"/>
                <w:lang w:val="nl-NL"/>
              </w:rPr>
              <w:t>./kamers</w:t>
            </w:r>
          </w:p>
        </w:tc>
      </w:tr>
      <w:tr w:rsidR="00874225" w:rsidRPr="00874225" w:rsidTr="00874225">
        <w:tc>
          <w:tcPr>
            <w:tcW w:w="1100" w:type="dxa"/>
            <w:vMerge w:val="restart"/>
            <w:vAlign w:val="center"/>
          </w:tcPr>
          <w:p w:rsidR="00874225" w:rsidRPr="00874225" w:rsidRDefault="00874225" w:rsidP="00874225">
            <w:pPr>
              <w:keepNext/>
              <w:tabs>
                <w:tab w:val="left" w:pos="884"/>
              </w:tabs>
              <w:ind w:left="0" w:right="33"/>
              <w:jc w:val="left"/>
              <w:rPr>
                <w:sz w:val="18"/>
                <w:szCs w:val="18"/>
                <w:lang w:val="nl-NL"/>
              </w:rPr>
            </w:pPr>
            <w:r w:rsidRPr="00874225">
              <w:rPr>
                <w:sz w:val="18"/>
                <w:szCs w:val="18"/>
                <w:lang w:val="nl-NL"/>
              </w:rPr>
              <w:t>HORE</w:t>
            </w:r>
            <w:r>
              <w:rPr>
                <w:sz w:val="18"/>
                <w:szCs w:val="18"/>
                <w:lang w:val="nl-NL"/>
              </w:rPr>
              <w:t>C</w:t>
            </w:r>
            <w:r w:rsidRPr="00874225">
              <w:rPr>
                <w:sz w:val="18"/>
                <w:szCs w:val="18"/>
                <w:lang w:val="nl-NL"/>
              </w:rPr>
              <w:t>A</w:t>
            </w:r>
          </w:p>
        </w:tc>
        <w:tc>
          <w:tcPr>
            <w:tcW w:w="2551" w:type="dxa"/>
            <w:vMerge w:val="restart"/>
            <w:vAlign w:val="center"/>
          </w:tcPr>
          <w:p w:rsidR="00874225" w:rsidRPr="00874225" w:rsidRDefault="00874225" w:rsidP="00874225">
            <w:pPr>
              <w:keepNext/>
              <w:ind w:left="0" w:right="33"/>
              <w:jc w:val="left"/>
              <w:rPr>
                <w:sz w:val="18"/>
                <w:szCs w:val="18"/>
                <w:lang w:val="nl-NL"/>
              </w:rPr>
            </w:pPr>
            <w:r w:rsidRPr="00874225">
              <w:rPr>
                <w:sz w:val="18"/>
                <w:szCs w:val="18"/>
                <w:lang w:val="nl-NL"/>
              </w:rPr>
              <w:t>Hotels (15 302 kamers)</w:t>
            </w:r>
          </w:p>
        </w:tc>
        <w:tc>
          <w:tcPr>
            <w:tcW w:w="3261" w:type="dxa"/>
            <w:vAlign w:val="center"/>
          </w:tcPr>
          <w:p w:rsidR="00874225" w:rsidRPr="00874225" w:rsidRDefault="00874225" w:rsidP="00874225">
            <w:pPr>
              <w:keepNext/>
              <w:ind w:left="0"/>
              <w:jc w:val="left"/>
              <w:rPr>
                <w:sz w:val="18"/>
                <w:szCs w:val="18"/>
                <w:lang w:val="nl-NL"/>
              </w:rPr>
            </w:pPr>
            <w:r w:rsidRPr="00874225">
              <w:rPr>
                <w:sz w:val="18"/>
                <w:szCs w:val="18"/>
                <w:lang w:val="nl-NL"/>
              </w:rPr>
              <w:t>Hotels met restaurant</w:t>
            </w:r>
          </w:p>
        </w:tc>
        <w:tc>
          <w:tcPr>
            <w:tcW w:w="1948" w:type="dxa"/>
            <w:vAlign w:val="center"/>
          </w:tcPr>
          <w:p w:rsidR="00874225" w:rsidRPr="00874225" w:rsidRDefault="00874225" w:rsidP="00874225">
            <w:pPr>
              <w:keepNext/>
              <w:ind w:left="0" w:right="139"/>
              <w:jc w:val="left"/>
              <w:rPr>
                <w:sz w:val="18"/>
                <w:szCs w:val="18"/>
                <w:lang w:val="nl-NL"/>
              </w:rPr>
            </w:pPr>
            <w:r w:rsidRPr="00874225">
              <w:rPr>
                <w:sz w:val="18"/>
                <w:szCs w:val="18"/>
                <w:lang w:val="nl-NL"/>
              </w:rPr>
              <w:t>1 1</w:t>
            </w:r>
            <w:r w:rsidRPr="00874225">
              <w:rPr>
                <w:sz w:val="18"/>
                <w:szCs w:val="18"/>
                <w:lang w:val="nl-NL"/>
              </w:rPr>
              <w:t>726 kamers</w:t>
            </w: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2551" w:type="dxa"/>
            <w:vMerge/>
            <w:vAlign w:val="center"/>
          </w:tcPr>
          <w:p w:rsidR="00874225" w:rsidRPr="00874225" w:rsidRDefault="00874225" w:rsidP="00874225">
            <w:pPr>
              <w:keepNext/>
              <w:ind w:left="0" w:right="33"/>
              <w:jc w:val="left"/>
              <w:rPr>
                <w:sz w:val="18"/>
                <w:szCs w:val="18"/>
                <w:lang w:val="nl-NL"/>
              </w:rPr>
            </w:pPr>
          </w:p>
        </w:tc>
        <w:tc>
          <w:tcPr>
            <w:tcW w:w="3261" w:type="dxa"/>
            <w:vAlign w:val="center"/>
          </w:tcPr>
          <w:p w:rsidR="00874225" w:rsidRPr="00874225" w:rsidRDefault="00874225" w:rsidP="00874225">
            <w:pPr>
              <w:ind w:left="0"/>
              <w:jc w:val="left"/>
              <w:rPr>
                <w:sz w:val="18"/>
                <w:szCs w:val="18"/>
                <w:lang w:val="nl-NL"/>
              </w:rPr>
            </w:pPr>
            <w:r w:rsidRPr="00874225">
              <w:rPr>
                <w:sz w:val="18"/>
                <w:szCs w:val="18"/>
                <w:lang w:val="nl-NL"/>
              </w:rPr>
              <w:t>Hotels met enkel ontbijt</w:t>
            </w:r>
          </w:p>
        </w:tc>
        <w:tc>
          <w:tcPr>
            <w:tcW w:w="1948" w:type="dxa"/>
            <w:vMerge w:val="restart"/>
            <w:vAlign w:val="center"/>
          </w:tcPr>
          <w:p w:rsidR="00874225" w:rsidRPr="00874225" w:rsidRDefault="00874225" w:rsidP="00874225">
            <w:pPr>
              <w:keepNext/>
              <w:ind w:left="0" w:right="139"/>
              <w:jc w:val="left"/>
              <w:rPr>
                <w:sz w:val="18"/>
                <w:szCs w:val="18"/>
                <w:lang w:val="nl-NL"/>
              </w:rPr>
            </w:pPr>
            <w:r w:rsidRPr="00874225">
              <w:rPr>
                <w:sz w:val="18"/>
                <w:szCs w:val="18"/>
                <w:lang w:val="nl-NL"/>
              </w:rPr>
              <w:t>3</w:t>
            </w:r>
            <w:r w:rsidRPr="00874225">
              <w:rPr>
                <w:sz w:val="18"/>
                <w:szCs w:val="18"/>
                <w:lang w:val="nl-NL"/>
              </w:rPr>
              <w:t xml:space="preserve"> </w:t>
            </w:r>
            <w:r w:rsidRPr="00874225">
              <w:rPr>
                <w:sz w:val="18"/>
                <w:szCs w:val="18"/>
                <w:lang w:val="nl-NL"/>
              </w:rPr>
              <w:t>576</w:t>
            </w:r>
            <w:r w:rsidRPr="00874225">
              <w:rPr>
                <w:sz w:val="18"/>
                <w:szCs w:val="18"/>
                <w:lang w:val="nl-NL"/>
              </w:rPr>
              <w:t xml:space="preserve"> </w:t>
            </w:r>
            <w:r w:rsidRPr="00874225">
              <w:rPr>
                <w:sz w:val="18"/>
                <w:szCs w:val="18"/>
                <w:lang w:val="nl-NL"/>
              </w:rPr>
              <w:t>kamers</w:t>
            </w: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2551" w:type="dxa"/>
            <w:vMerge/>
            <w:vAlign w:val="center"/>
          </w:tcPr>
          <w:p w:rsidR="00874225" w:rsidRPr="00874225" w:rsidRDefault="00874225" w:rsidP="00874225">
            <w:pPr>
              <w:keepNext/>
              <w:ind w:left="0" w:right="33"/>
              <w:jc w:val="left"/>
              <w:rPr>
                <w:sz w:val="18"/>
                <w:szCs w:val="18"/>
                <w:lang w:val="nl-NL"/>
              </w:rPr>
            </w:pPr>
          </w:p>
        </w:tc>
        <w:tc>
          <w:tcPr>
            <w:tcW w:w="3261" w:type="dxa"/>
            <w:vAlign w:val="center"/>
          </w:tcPr>
          <w:p w:rsidR="00874225" w:rsidRPr="00874225" w:rsidRDefault="00874225" w:rsidP="00874225">
            <w:pPr>
              <w:keepNext/>
              <w:ind w:left="0"/>
              <w:jc w:val="left"/>
              <w:rPr>
                <w:sz w:val="18"/>
                <w:szCs w:val="18"/>
                <w:lang w:val="nl-NL"/>
              </w:rPr>
            </w:pPr>
            <w:r w:rsidRPr="00874225">
              <w:rPr>
                <w:sz w:val="18"/>
                <w:szCs w:val="18"/>
                <w:lang w:val="nl-NL"/>
              </w:rPr>
              <w:t>Hotels zonder keuken</w:t>
            </w:r>
          </w:p>
        </w:tc>
        <w:tc>
          <w:tcPr>
            <w:tcW w:w="1948" w:type="dxa"/>
            <w:vMerge/>
            <w:vAlign w:val="center"/>
          </w:tcPr>
          <w:p w:rsidR="00874225" w:rsidRPr="00874225" w:rsidRDefault="00874225" w:rsidP="00874225">
            <w:pPr>
              <w:keepNext/>
              <w:ind w:left="0" w:right="139"/>
              <w:jc w:val="left"/>
              <w:rPr>
                <w:sz w:val="18"/>
                <w:szCs w:val="18"/>
                <w:lang w:val="nl-NL"/>
              </w:rPr>
            </w:pP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7760" w:type="dxa"/>
            <w:gridSpan w:val="3"/>
            <w:vAlign w:val="center"/>
          </w:tcPr>
          <w:p w:rsidR="00874225" w:rsidRPr="00874225" w:rsidRDefault="00874225" w:rsidP="00874225">
            <w:pPr>
              <w:keepNext/>
              <w:ind w:left="0" w:right="139"/>
              <w:jc w:val="left"/>
              <w:rPr>
                <w:sz w:val="18"/>
                <w:szCs w:val="18"/>
                <w:lang w:val="nl-NL"/>
              </w:rPr>
            </w:pPr>
            <w:r w:rsidRPr="00874225">
              <w:rPr>
                <w:sz w:val="18"/>
                <w:szCs w:val="18"/>
                <w:lang w:val="nl-NL"/>
              </w:rPr>
              <w:t xml:space="preserve">Cafés (1 402 </w:t>
            </w:r>
            <w:proofErr w:type="spellStart"/>
            <w:r>
              <w:rPr>
                <w:sz w:val="18"/>
                <w:szCs w:val="18"/>
                <w:lang w:val="nl-NL"/>
              </w:rPr>
              <w:t>e</w:t>
            </w:r>
            <w:r w:rsidRPr="00874225">
              <w:rPr>
                <w:sz w:val="18"/>
                <w:szCs w:val="18"/>
                <w:lang w:val="nl-NL"/>
              </w:rPr>
              <w:t>tab</w:t>
            </w:r>
            <w:proofErr w:type="spellEnd"/>
            <w:r w:rsidRPr="00874225">
              <w:rPr>
                <w:sz w:val="18"/>
                <w:szCs w:val="18"/>
                <w:lang w:val="nl-NL"/>
              </w:rPr>
              <w:t>.)</w:t>
            </w: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2551" w:type="dxa"/>
            <w:vMerge w:val="restart"/>
            <w:vAlign w:val="center"/>
          </w:tcPr>
          <w:p w:rsidR="00874225" w:rsidRPr="00874225" w:rsidRDefault="00874225" w:rsidP="00874225">
            <w:pPr>
              <w:keepNext/>
              <w:ind w:left="0" w:right="33"/>
              <w:jc w:val="left"/>
              <w:rPr>
                <w:sz w:val="18"/>
                <w:szCs w:val="18"/>
                <w:lang w:val="nl-NL"/>
              </w:rPr>
            </w:pPr>
            <w:r w:rsidRPr="00874225">
              <w:rPr>
                <w:sz w:val="18"/>
                <w:szCs w:val="18"/>
                <w:lang w:val="nl-NL"/>
              </w:rPr>
              <w:t xml:space="preserve">Restaurant (3 557 </w:t>
            </w:r>
            <w:proofErr w:type="spellStart"/>
            <w:r>
              <w:rPr>
                <w:sz w:val="18"/>
                <w:szCs w:val="18"/>
                <w:lang w:val="nl-NL"/>
              </w:rPr>
              <w:t>e</w:t>
            </w:r>
            <w:r w:rsidRPr="00874225">
              <w:rPr>
                <w:sz w:val="18"/>
                <w:szCs w:val="18"/>
                <w:lang w:val="nl-NL"/>
              </w:rPr>
              <w:t>tab</w:t>
            </w:r>
            <w:proofErr w:type="spellEnd"/>
            <w:r w:rsidRPr="00874225">
              <w:rPr>
                <w:sz w:val="18"/>
                <w:szCs w:val="18"/>
                <w:lang w:val="nl-NL"/>
              </w:rPr>
              <w:t>.)</w:t>
            </w:r>
          </w:p>
        </w:tc>
        <w:tc>
          <w:tcPr>
            <w:tcW w:w="3261" w:type="dxa"/>
            <w:vAlign w:val="center"/>
          </w:tcPr>
          <w:p w:rsidR="00874225" w:rsidRPr="00874225" w:rsidRDefault="00874225" w:rsidP="00874225">
            <w:pPr>
              <w:keepNext/>
              <w:ind w:left="0"/>
              <w:jc w:val="left"/>
              <w:rPr>
                <w:sz w:val="18"/>
                <w:szCs w:val="18"/>
                <w:lang w:val="nl-NL"/>
              </w:rPr>
            </w:pPr>
            <w:r w:rsidRPr="00874225">
              <w:rPr>
                <w:sz w:val="18"/>
                <w:szCs w:val="18"/>
                <w:lang w:val="nl-NL"/>
              </w:rPr>
              <w:t>Restaurant</w:t>
            </w:r>
          </w:p>
        </w:tc>
        <w:tc>
          <w:tcPr>
            <w:tcW w:w="1948" w:type="dxa"/>
            <w:vAlign w:val="center"/>
          </w:tcPr>
          <w:p w:rsidR="00874225" w:rsidRPr="00874225" w:rsidRDefault="00874225" w:rsidP="00874225">
            <w:pPr>
              <w:keepNext/>
              <w:ind w:left="0" w:right="139"/>
              <w:jc w:val="left"/>
              <w:rPr>
                <w:sz w:val="18"/>
                <w:szCs w:val="18"/>
                <w:lang w:val="nl-NL"/>
              </w:rPr>
            </w:pPr>
            <w:r w:rsidRPr="00874225">
              <w:rPr>
                <w:sz w:val="18"/>
                <w:szCs w:val="18"/>
                <w:lang w:val="nl-NL"/>
              </w:rPr>
              <w:t xml:space="preserve">1 707 </w:t>
            </w:r>
            <w:proofErr w:type="spellStart"/>
            <w:r>
              <w:rPr>
                <w:sz w:val="18"/>
                <w:szCs w:val="18"/>
                <w:lang w:val="nl-NL"/>
              </w:rPr>
              <w:t>e</w:t>
            </w:r>
            <w:r w:rsidRPr="00874225">
              <w:rPr>
                <w:sz w:val="18"/>
                <w:szCs w:val="18"/>
                <w:lang w:val="nl-NL"/>
              </w:rPr>
              <w:t>tab</w:t>
            </w:r>
            <w:proofErr w:type="spellEnd"/>
            <w:r w:rsidRPr="00874225">
              <w:rPr>
                <w:sz w:val="18"/>
                <w:szCs w:val="18"/>
                <w:lang w:val="nl-NL"/>
              </w:rPr>
              <w:t>.</w:t>
            </w: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2551" w:type="dxa"/>
            <w:vMerge/>
            <w:vAlign w:val="center"/>
          </w:tcPr>
          <w:p w:rsidR="00874225" w:rsidRPr="00874225" w:rsidRDefault="00874225" w:rsidP="00874225">
            <w:pPr>
              <w:keepNext/>
              <w:ind w:left="0"/>
              <w:jc w:val="left"/>
              <w:rPr>
                <w:sz w:val="18"/>
                <w:szCs w:val="18"/>
                <w:lang w:val="nl-NL"/>
              </w:rPr>
            </w:pPr>
          </w:p>
        </w:tc>
        <w:tc>
          <w:tcPr>
            <w:tcW w:w="3261" w:type="dxa"/>
            <w:vAlign w:val="center"/>
          </w:tcPr>
          <w:p w:rsidR="00874225" w:rsidRPr="00874225" w:rsidRDefault="00874225" w:rsidP="00874225">
            <w:pPr>
              <w:keepNext/>
              <w:ind w:left="0"/>
              <w:jc w:val="left"/>
              <w:rPr>
                <w:sz w:val="18"/>
                <w:szCs w:val="18"/>
                <w:lang w:val="nl-NL"/>
              </w:rPr>
            </w:pPr>
            <w:r w:rsidRPr="00874225">
              <w:rPr>
                <w:sz w:val="18"/>
                <w:szCs w:val="18"/>
                <w:lang w:val="nl-NL"/>
              </w:rPr>
              <w:t>Snacks –broodjes (79%)</w:t>
            </w:r>
          </w:p>
        </w:tc>
        <w:tc>
          <w:tcPr>
            <w:tcW w:w="1948" w:type="dxa"/>
            <w:vMerge w:val="restart"/>
            <w:vAlign w:val="center"/>
          </w:tcPr>
          <w:p w:rsidR="00874225" w:rsidRPr="00874225" w:rsidRDefault="00874225" w:rsidP="00874225">
            <w:pPr>
              <w:keepNext/>
              <w:ind w:left="0" w:right="139"/>
              <w:jc w:val="left"/>
              <w:rPr>
                <w:sz w:val="18"/>
                <w:szCs w:val="18"/>
                <w:lang w:val="nl-NL"/>
              </w:rPr>
            </w:pPr>
            <w:r w:rsidRPr="00874225">
              <w:rPr>
                <w:sz w:val="18"/>
                <w:szCs w:val="18"/>
                <w:lang w:val="nl-NL"/>
              </w:rPr>
              <w:t xml:space="preserve">1 850 </w:t>
            </w:r>
            <w:proofErr w:type="spellStart"/>
            <w:r>
              <w:rPr>
                <w:sz w:val="18"/>
                <w:szCs w:val="18"/>
                <w:lang w:val="nl-NL"/>
              </w:rPr>
              <w:t>e</w:t>
            </w:r>
            <w:r w:rsidRPr="00874225">
              <w:rPr>
                <w:sz w:val="18"/>
                <w:szCs w:val="18"/>
                <w:lang w:val="nl-NL"/>
              </w:rPr>
              <w:t>tab</w:t>
            </w:r>
            <w:proofErr w:type="spellEnd"/>
            <w:r w:rsidRPr="00874225">
              <w:rPr>
                <w:sz w:val="18"/>
                <w:szCs w:val="18"/>
                <w:lang w:val="nl-NL"/>
              </w:rPr>
              <w:t>.</w:t>
            </w: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2551" w:type="dxa"/>
            <w:vMerge/>
            <w:vAlign w:val="center"/>
          </w:tcPr>
          <w:p w:rsidR="00874225" w:rsidRPr="00874225" w:rsidRDefault="00874225" w:rsidP="00874225">
            <w:pPr>
              <w:keepNext/>
              <w:ind w:left="0"/>
              <w:jc w:val="left"/>
              <w:rPr>
                <w:sz w:val="18"/>
                <w:szCs w:val="18"/>
                <w:lang w:val="nl-NL"/>
              </w:rPr>
            </w:pPr>
          </w:p>
        </w:tc>
        <w:tc>
          <w:tcPr>
            <w:tcW w:w="3261" w:type="dxa"/>
            <w:vAlign w:val="center"/>
          </w:tcPr>
          <w:p w:rsidR="00874225" w:rsidRPr="00874225" w:rsidRDefault="00874225" w:rsidP="00874225">
            <w:pPr>
              <w:keepNext/>
              <w:ind w:left="0"/>
              <w:jc w:val="left"/>
              <w:rPr>
                <w:sz w:val="18"/>
                <w:szCs w:val="18"/>
                <w:lang w:val="nl-NL"/>
              </w:rPr>
            </w:pPr>
            <w:r w:rsidRPr="00874225">
              <w:rPr>
                <w:sz w:val="18"/>
                <w:szCs w:val="18"/>
                <w:lang w:val="nl-NL"/>
              </w:rPr>
              <w:t>Snacks – frituur (5%)</w:t>
            </w:r>
          </w:p>
        </w:tc>
        <w:tc>
          <w:tcPr>
            <w:tcW w:w="1948" w:type="dxa"/>
            <w:vMerge/>
            <w:vAlign w:val="center"/>
          </w:tcPr>
          <w:p w:rsidR="00874225" w:rsidRPr="00874225" w:rsidRDefault="00874225" w:rsidP="00874225">
            <w:pPr>
              <w:keepNext/>
              <w:ind w:left="0"/>
              <w:jc w:val="left"/>
              <w:rPr>
                <w:sz w:val="18"/>
                <w:szCs w:val="18"/>
                <w:lang w:val="nl-NL"/>
              </w:rPr>
            </w:pP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2551" w:type="dxa"/>
            <w:vMerge/>
            <w:vAlign w:val="center"/>
          </w:tcPr>
          <w:p w:rsidR="00874225" w:rsidRPr="00874225" w:rsidRDefault="00874225" w:rsidP="00874225">
            <w:pPr>
              <w:keepNext/>
              <w:ind w:left="0"/>
              <w:jc w:val="left"/>
              <w:rPr>
                <w:sz w:val="18"/>
                <w:szCs w:val="18"/>
                <w:lang w:val="nl-NL"/>
              </w:rPr>
            </w:pPr>
          </w:p>
        </w:tc>
        <w:tc>
          <w:tcPr>
            <w:tcW w:w="3261" w:type="dxa"/>
            <w:vAlign w:val="center"/>
          </w:tcPr>
          <w:p w:rsidR="00874225" w:rsidRPr="00874225" w:rsidRDefault="00874225" w:rsidP="00874225">
            <w:pPr>
              <w:keepNext/>
              <w:ind w:left="0"/>
              <w:jc w:val="left"/>
              <w:rPr>
                <w:sz w:val="18"/>
                <w:szCs w:val="18"/>
                <w:lang w:val="nl-NL"/>
              </w:rPr>
            </w:pPr>
            <w:r w:rsidRPr="00874225">
              <w:rPr>
                <w:sz w:val="18"/>
                <w:szCs w:val="18"/>
                <w:lang w:val="nl-NL"/>
              </w:rPr>
              <w:t>Meeneemsnacks (11%)</w:t>
            </w:r>
          </w:p>
        </w:tc>
        <w:tc>
          <w:tcPr>
            <w:tcW w:w="1948" w:type="dxa"/>
            <w:vMerge/>
            <w:vAlign w:val="center"/>
          </w:tcPr>
          <w:p w:rsidR="00874225" w:rsidRPr="00874225" w:rsidRDefault="00874225" w:rsidP="00874225">
            <w:pPr>
              <w:keepNext/>
              <w:ind w:left="0"/>
              <w:jc w:val="left"/>
              <w:rPr>
                <w:sz w:val="18"/>
                <w:szCs w:val="18"/>
                <w:lang w:val="nl-NL"/>
              </w:rPr>
            </w:pPr>
          </w:p>
        </w:tc>
      </w:tr>
      <w:tr w:rsidR="00874225" w:rsidRPr="00874225" w:rsidTr="00874225">
        <w:tc>
          <w:tcPr>
            <w:tcW w:w="1100" w:type="dxa"/>
            <w:vMerge/>
            <w:vAlign w:val="center"/>
          </w:tcPr>
          <w:p w:rsidR="00874225" w:rsidRPr="00874225" w:rsidRDefault="00874225" w:rsidP="00874225">
            <w:pPr>
              <w:keepNext/>
              <w:ind w:left="0"/>
              <w:jc w:val="left"/>
              <w:rPr>
                <w:sz w:val="18"/>
                <w:szCs w:val="18"/>
                <w:lang w:val="nl-NL"/>
              </w:rPr>
            </w:pPr>
          </w:p>
        </w:tc>
        <w:tc>
          <w:tcPr>
            <w:tcW w:w="2551" w:type="dxa"/>
            <w:vMerge/>
            <w:vAlign w:val="center"/>
          </w:tcPr>
          <w:p w:rsidR="00874225" w:rsidRPr="00874225" w:rsidRDefault="00874225" w:rsidP="00874225">
            <w:pPr>
              <w:keepNext/>
              <w:ind w:left="0"/>
              <w:jc w:val="left"/>
              <w:rPr>
                <w:sz w:val="18"/>
                <w:szCs w:val="18"/>
                <w:lang w:val="nl-NL"/>
              </w:rPr>
            </w:pPr>
          </w:p>
        </w:tc>
        <w:tc>
          <w:tcPr>
            <w:tcW w:w="3261" w:type="dxa"/>
            <w:vAlign w:val="center"/>
          </w:tcPr>
          <w:p w:rsidR="00874225" w:rsidRPr="00874225" w:rsidRDefault="00874225" w:rsidP="00874225">
            <w:pPr>
              <w:keepNext/>
              <w:ind w:left="0"/>
              <w:jc w:val="left"/>
              <w:rPr>
                <w:sz w:val="18"/>
                <w:szCs w:val="18"/>
                <w:lang w:val="nl-NL"/>
              </w:rPr>
            </w:pPr>
            <w:r w:rsidRPr="00874225">
              <w:rPr>
                <w:sz w:val="18"/>
                <w:szCs w:val="18"/>
                <w:lang w:val="nl-NL"/>
              </w:rPr>
              <w:t>Fastfood (6%)</w:t>
            </w:r>
          </w:p>
        </w:tc>
        <w:tc>
          <w:tcPr>
            <w:tcW w:w="1948" w:type="dxa"/>
            <w:vMerge/>
            <w:vAlign w:val="center"/>
          </w:tcPr>
          <w:p w:rsidR="00874225" w:rsidRPr="00874225" w:rsidRDefault="00874225" w:rsidP="00874225">
            <w:pPr>
              <w:keepNext/>
              <w:ind w:left="0"/>
              <w:jc w:val="left"/>
              <w:rPr>
                <w:sz w:val="18"/>
                <w:szCs w:val="18"/>
                <w:lang w:val="nl-NL"/>
              </w:rPr>
            </w:pPr>
          </w:p>
        </w:tc>
      </w:tr>
    </w:tbl>
    <w:p w:rsidR="007A4CBA" w:rsidRPr="00874225" w:rsidRDefault="00874225" w:rsidP="00874225">
      <w:pPr>
        <w:keepNext/>
        <w:jc w:val="left"/>
        <w:rPr>
          <w:sz w:val="18"/>
          <w:szCs w:val="18"/>
          <w:lang w:val="nl-NL"/>
        </w:rPr>
      </w:pPr>
      <w:r w:rsidRPr="00AA4A0B">
        <w:rPr>
          <w:sz w:val="14"/>
          <w:lang w:val="nl-NL"/>
        </w:rPr>
        <w:t xml:space="preserve">Afbeelding </w:t>
      </w:r>
      <w:r w:rsidRPr="00AA4A0B">
        <w:rPr>
          <w:sz w:val="14"/>
          <w:lang w:val="nl-NL"/>
        </w:rPr>
        <w:fldChar w:fldCharType="begin"/>
      </w:r>
      <w:r w:rsidRPr="00AA4A0B">
        <w:rPr>
          <w:sz w:val="14"/>
          <w:lang w:val="nl-NL"/>
        </w:rPr>
        <w:instrText xml:space="preserve"> SEQ Figure \* ARABIC </w:instrText>
      </w:r>
      <w:r w:rsidRPr="00AA4A0B">
        <w:rPr>
          <w:sz w:val="14"/>
          <w:lang w:val="nl-NL"/>
        </w:rPr>
        <w:fldChar w:fldCharType="separate"/>
      </w:r>
      <w:r w:rsidRPr="00AA4A0B">
        <w:rPr>
          <w:noProof/>
          <w:sz w:val="14"/>
          <w:lang w:val="nl-NL"/>
        </w:rPr>
        <w:t>1</w:t>
      </w:r>
      <w:r w:rsidRPr="00AA4A0B">
        <w:rPr>
          <w:sz w:val="14"/>
          <w:lang w:val="nl-NL"/>
        </w:rPr>
        <w:fldChar w:fldCharType="end"/>
      </w:r>
      <w:r w:rsidRPr="00AA4A0B">
        <w:rPr>
          <w:sz w:val="14"/>
          <w:lang w:val="nl-NL"/>
        </w:rPr>
        <w:t xml:space="preserve"> : Typologie van de horecasector</w:t>
      </w:r>
    </w:p>
    <w:p w:rsidR="00C840B9" w:rsidRPr="00AA4A0B" w:rsidRDefault="00C65500" w:rsidP="00C840B9">
      <w:pPr>
        <w:pStyle w:val="BETitreNiveau2"/>
        <w:ind w:left="1644" w:hanging="431"/>
        <w:rPr>
          <w:lang w:val="nl-NL"/>
        </w:rPr>
      </w:pPr>
      <w:r w:rsidRPr="00AA4A0B">
        <w:rPr>
          <w:lang w:val="nl-NL"/>
        </w:rPr>
        <w:t>VOLUME</w:t>
      </w:r>
      <w:r w:rsidR="008A11F9" w:rsidRPr="00AA4A0B">
        <w:rPr>
          <w:lang w:val="nl-NL"/>
        </w:rPr>
        <w:t>, SAMENSTELLING EN BEHEER VAN AFVAL</w:t>
      </w:r>
      <w:r w:rsidR="00A914D0" w:rsidRPr="00AA4A0B">
        <w:rPr>
          <w:lang w:val="nl-NL"/>
        </w:rPr>
        <w:t>STOFFEN</w:t>
      </w:r>
      <w:r w:rsidR="008A11F9" w:rsidRPr="00AA4A0B">
        <w:rPr>
          <w:lang w:val="nl-NL"/>
        </w:rPr>
        <w:t xml:space="preserve"> </w:t>
      </w:r>
    </w:p>
    <w:p w:rsidR="00DE1EC2" w:rsidRPr="00AA4A0B" w:rsidRDefault="00DE1EC2" w:rsidP="00DE1EC2">
      <w:pPr>
        <w:rPr>
          <w:lang w:val="nl-NL"/>
        </w:rPr>
      </w:pPr>
    </w:p>
    <w:p w:rsidR="00DE1EC2" w:rsidRPr="00AA4A0B" w:rsidRDefault="00C65500" w:rsidP="00DE1EC2">
      <w:pPr>
        <w:rPr>
          <w:lang w:val="nl-NL"/>
        </w:rPr>
      </w:pPr>
      <w:r w:rsidRPr="00AA4A0B">
        <w:rPr>
          <w:lang w:val="nl-NL"/>
        </w:rPr>
        <w:t>Om het volume</w:t>
      </w:r>
      <w:r w:rsidR="00A914D0" w:rsidRPr="00AA4A0B">
        <w:rPr>
          <w:lang w:val="nl-NL"/>
        </w:rPr>
        <w:t xml:space="preserve"> van de belangrijkste afvalstromen in de horeca in het BHG</w:t>
      </w:r>
      <w:r w:rsidRPr="00AA4A0B">
        <w:rPr>
          <w:lang w:val="nl-NL"/>
        </w:rPr>
        <w:t xml:space="preserve"> in te schatten, werd een analyse</w:t>
      </w:r>
      <w:r w:rsidR="00A914D0" w:rsidRPr="00AA4A0B">
        <w:rPr>
          <w:lang w:val="nl-NL"/>
        </w:rPr>
        <w:t>campagne</w:t>
      </w:r>
      <w:r w:rsidRPr="00AA4A0B">
        <w:rPr>
          <w:lang w:val="nl-NL"/>
        </w:rPr>
        <w:t xml:space="preserve"> op het terrein</w:t>
      </w:r>
      <w:r w:rsidR="00A914D0" w:rsidRPr="00AA4A0B">
        <w:rPr>
          <w:lang w:val="nl-NL"/>
        </w:rPr>
        <w:t xml:space="preserve"> uitgevoerd bij 109 etablissementen (15 hotels, 14 cafés en 80 restaurants). Tijdens deze bezoeken werden de beheerwijze, het gewicht/volume van de belangrijkste afvalstrome</w:t>
      </w:r>
      <w:r w:rsidRPr="00AA4A0B">
        <w:rPr>
          <w:lang w:val="nl-NL"/>
        </w:rPr>
        <w:t>n en de gegevens die toelaten</w:t>
      </w:r>
      <w:r w:rsidR="00A914D0" w:rsidRPr="00AA4A0B">
        <w:rPr>
          <w:lang w:val="nl-NL"/>
        </w:rPr>
        <w:t xml:space="preserve"> het etablissement</w:t>
      </w:r>
      <w:r w:rsidRPr="00AA4A0B">
        <w:rPr>
          <w:lang w:val="nl-NL"/>
        </w:rPr>
        <w:t xml:space="preserve"> te karakteriseren volgens de </w:t>
      </w:r>
      <w:r w:rsidR="0081342C">
        <w:rPr>
          <w:lang w:val="nl-NL"/>
        </w:rPr>
        <w:t>omschreven</w:t>
      </w:r>
      <w:r w:rsidRPr="00AA4A0B">
        <w:rPr>
          <w:lang w:val="nl-NL"/>
        </w:rPr>
        <w:t xml:space="preserve"> stratificatie </w:t>
      </w:r>
      <w:r w:rsidR="00A914D0" w:rsidRPr="00AA4A0B">
        <w:rPr>
          <w:lang w:val="nl-NL"/>
        </w:rPr>
        <w:t xml:space="preserve">bekeken.  </w:t>
      </w:r>
    </w:p>
    <w:p w:rsidR="00DA6109" w:rsidRPr="00AA4A0B" w:rsidRDefault="00A914D0" w:rsidP="00CF21C0">
      <w:pPr>
        <w:pStyle w:val="BETitreNiveau2"/>
        <w:numPr>
          <w:ilvl w:val="2"/>
          <w:numId w:val="1"/>
        </w:numPr>
        <w:rPr>
          <w:lang w:val="nl-NL"/>
        </w:rPr>
      </w:pPr>
      <w:r w:rsidRPr="00AA4A0B">
        <w:rPr>
          <w:lang w:val="nl-NL"/>
        </w:rPr>
        <w:t xml:space="preserve">KWALITATIEVE RESULTATEN </w:t>
      </w:r>
    </w:p>
    <w:p w:rsidR="00DA6109" w:rsidRPr="00AA4A0B" w:rsidRDefault="00CF21C0" w:rsidP="00DA6109">
      <w:pPr>
        <w:pStyle w:val="Titre5"/>
        <w:numPr>
          <w:ilvl w:val="4"/>
          <w:numId w:val="0"/>
        </w:numPr>
        <w:tabs>
          <w:tab w:val="left" w:pos="426"/>
        </w:tabs>
        <w:spacing w:before="120" w:after="120"/>
        <w:ind w:left="2835" w:right="-301" w:hanging="2835"/>
        <w:rPr>
          <w:lang w:val="nl-NL"/>
        </w:rPr>
      </w:pPr>
      <w:r w:rsidRPr="00AA4A0B">
        <w:rPr>
          <w:lang w:val="nl-NL"/>
        </w:rPr>
        <w:tab/>
      </w:r>
      <w:r w:rsidR="00C65500" w:rsidRPr="00AA4A0B">
        <w:rPr>
          <w:lang w:val="nl-NL"/>
        </w:rPr>
        <w:t>Verzamelen van dagelijks</w:t>
      </w:r>
      <w:r w:rsidR="00A914D0" w:rsidRPr="00AA4A0B">
        <w:rPr>
          <w:lang w:val="nl-NL"/>
        </w:rPr>
        <w:t xml:space="preserve"> afval </w:t>
      </w:r>
    </w:p>
    <w:p w:rsidR="00D80CFB" w:rsidRPr="00AA4A0B" w:rsidRDefault="00A914D0" w:rsidP="00D80CFB">
      <w:pPr>
        <w:rPr>
          <w:lang w:val="nl-NL"/>
        </w:rPr>
      </w:pPr>
      <w:r w:rsidRPr="00AA4A0B">
        <w:rPr>
          <w:lang w:val="nl-NL"/>
        </w:rPr>
        <w:t xml:space="preserve">In de horecasector bestaan er talrijke varianten </w:t>
      </w:r>
      <w:r w:rsidR="000A6ABF" w:rsidRPr="00AA4A0B">
        <w:rPr>
          <w:lang w:val="nl-NL"/>
        </w:rPr>
        <w:t xml:space="preserve">voor de </w:t>
      </w:r>
      <w:proofErr w:type="spellStart"/>
      <w:r w:rsidR="00681301">
        <w:rPr>
          <w:lang w:val="nl-NL"/>
        </w:rPr>
        <w:t>ophaling</w:t>
      </w:r>
      <w:proofErr w:type="spellEnd"/>
      <w:r w:rsidR="00681301" w:rsidRPr="00AA4A0B">
        <w:rPr>
          <w:lang w:val="nl-NL"/>
        </w:rPr>
        <w:t xml:space="preserve"> </w:t>
      </w:r>
      <w:r w:rsidR="000A6ABF" w:rsidRPr="00AA4A0B">
        <w:rPr>
          <w:lang w:val="nl-NL"/>
        </w:rPr>
        <w:t xml:space="preserve">(zak, container of </w:t>
      </w:r>
      <w:r w:rsidR="0081342C">
        <w:rPr>
          <w:lang w:val="nl-NL"/>
        </w:rPr>
        <w:t>bulk</w:t>
      </w:r>
      <w:r w:rsidR="001B2F3D" w:rsidRPr="00AA4A0B">
        <w:rPr>
          <w:lang w:val="nl-NL"/>
        </w:rPr>
        <w:t>) en de frequentie van inzameling van elke afvalstroom (inzameldag voor de gezinnen, dagelijks, bepaald door een contract, …)</w:t>
      </w:r>
      <w:r w:rsidR="0081342C">
        <w:rPr>
          <w:lang w:val="nl-NL"/>
        </w:rPr>
        <w:t>.</w:t>
      </w:r>
      <w:r w:rsidR="001B2F3D" w:rsidRPr="00AA4A0B">
        <w:rPr>
          <w:lang w:val="nl-NL"/>
        </w:rPr>
        <w:t xml:space="preserve"> Bij 84% van de 109 bezochte etablissementen wordt het restafval opgehaald in witte of fuchsia zakken. Bij de rest van de etablissementen gebeurt de inzameli</w:t>
      </w:r>
      <w:r w:rsidR="005435CF" w:rsidRPr="00AA4A0B">
        <w:rPr>
          <w:lang w:val="nl-NL"/>
        </w:rPr>
        <w:t xml:space="preserve">ng via klassieke containers of </w:t>
      </w:r>
      <w:r w:rsidR="001B2F3D" w:rsidRPr="00AA4A0B">
        <w:rPr>
          <w:lang w:val="nl-NL"/>
        </w:rPr>
        <w:t xml:space="preserve">Molokcontainers. </w:t>
      </w:r>
    </w:p>
    <w:p w:rsidR="00DA6109" w:rsidRPr="00AA4A0B" w:rsidRDefault="00CF21C0" w:rsidP="00DA6109">
      <w:pPr>
        <w:pStyle w:val="Titre5"/>
        <w:numPr>
          <w:ilvl w:val="4"/>
          <w:numId w:val="0"/>
        </w:numPr>
        <w:tabs>
          <w:tab w:val="left" w:pos="426"/>
        </w:tabs>
        <w:spacing w:before="120" w:after="120"/>
        <w:ind w:left="2835" w:right="-301" w:hanging="2835"/>
        <w:rPr>
          <w:lang w:val="nl-NL"/>
        </w:rPr>
      </w:pPr>
      <w:r w:rsidRPr="00AA4A0B">
        <w:rPr>
          <w:lang w:val="nl-NL"/>
        </w:rPr>
        <w:tab/>
      </w:r>
      <w:r w:rsidR="00F13BEB" w:rsidRPr="00AA4A0B">
        <w:rPr>
          <w:lang w:val="nl-NL"/>
        </w:rPr>
        <w:t>Verz</w:t>
      </w:r>
      <w:r w:rsidR="005435CF" w:rsidRPr="00AA4A0B">
        <w:rPr>
          <w:lang w:val="nl-NL"/>
        </w:rPr>
        <w:t>amelen van weinig voorkomend af</w:t>
      </w:r>
      <w:r w:rsidR="00F13BEB" w:rsidRPr="00AA4A0B">
        <w:rPr>
          <w:lang w:val="nl-NL"/>
        </w:rPr>
        <w:t xml:space="preserve">val </w:t>
      </w:r>
    </w:p>
    <w:p w:rsidR="00DA6109" w:rsidRPr="00AA4A0B" w:rsidRDefault="00F13BEB" w:rsidP="00EC29FA">
      <w:pPr>
        <w:rPr>
          <w:lang w:val="nl-NL"/>
        </w:rPr>
      </w:pPr>
      <w:r w:rsidRPr="00AA4A0B">
        <w:rPr>
          <w:lang w:val="nl-NL"/>
        </w:rPr>
        <w:t xml:space="preserve">Weinig voorkomend afval is bv. gevaarlijk afval, grof vuil, AEEA en batterijen. De meeste etablissementen zeiden geen of zeer zelden afval van deze categorie te hebben. De etablissementen die soms te maken hadden met dit soort van afval, maakten meestal gebruik van de jaarlijkse ophaling georganiseerd door de gemeenten of gingen zelf naar het containerpark. </w:t>
      </w:r>
    </w:p>
    <w:p w:rsidR="00DA6109" w:rsidRPr="00AA4A0B" w:rsidRDefault="00CF21C0" w:rsidP="00DA6109">
      <w:pPr>
        <w:pStyle w:val="Titre5"/>
        <w:numPr>
          <w:ilvl w:val="4"/>
          <w:numId w:val="0"/>
        </w:numPr>
        <w:tabs>
          <w:tab w:val="left" w:pos="426"/>
        </w:tabs>
        <w:spacing w:before="120" w:after="120"/>
        <w:ind w:left="2835" w:right="-301" w:hanging="2835"/>
        <w:rPr>
          <w:lang w:val="nl-NL"/>
        </w:rPr>
      </w:pPr>
      <w:r w:rsidRPr="00AA4A0B">
        <w:rPr>
          <w:lang w:val="nl-NL"/>
        </w:rPr>
        <w:tab/>
      </w:r>
      <w:r w:rsidR="00F13BEB" w:rsidRPr="00AA4A0B">
        <w:rPr>
          <w:lang w:val="nl-NL"/>
        </w:rPr>
        <w:t xml:space="preserve">Afvalsortering </w:t>
      </w:r>
    </w:p>
    <w:p w:rsidR="0016669F" w:rsidRPr="00AA4A0B" w:rsidRDefault="005435CF" w:rsidP="005435CF">
      <w:pPr>
        <w:rPr>
          <w:lang w:val="nl-NL"/>
        </w:rPr>
      </w:pPr>
      <w:r w:rsidRPr="00AA4A0B">
        <w:rPr>
          <w:lang w:val="nl-NL"/>
        </w:rPr>
        <w:t>De kenmerken</w:t>
      </w:r>
      <w:r w:rsidR="00F13BEB" w:rsidRPr="00AA4A0B">
        <w:rPr>
          <w:lang w:val="nl-NL"/>
        </w:rPr>
        <w:t xml:space="preserve"> van de steekproef</w:t>
      </w:r>
      <w:r w:rsidR="00AA4A0B">
        <w:rPr>
          <w:lang w:val="nl-NL"/>
        </w:rPr>
        <w:t xml:space="preserve"> op het gebied van sorteren</w:t>
      </w:r>
      <w:r w:rsidR="00F13BEB" w:rsidRPr="00AA4A0B">
        <w:rPr>
          <w:lang w:val="nl-NL"/>
        </w:rPr>
        <w:t xml:space="preserve"> : </w:t>
      </w:r>
    </w:p>
    <w:p w:rsidR="00DA6109" w:rsidRPr="00AA4A0B" w:rsidRDefault="00DA6109" w:rsidP="00DC5041">
      <w:pPr>
        <w:pStyle w:val="Paragraphedeliste"/>
        <w:numPr>
          <w:ilvl w:val="0"/>
          <w:numId w:val="21"/>
        </w:numPr>
        <w:rPr>
          <w:lang w:val="nl-NL"/>
        </w:rPr>
      </w:pPr>
      <w:r w:rsidRPr="00AA4A0B">
        <w:rPr>
          <w:lang w:val="nl-NL"/>
        </w:rPr>
        <w:t xml:space="preserve">97% </w:t>
      </w:r>
      <w:r w:rsidR="00F13BEB" w:rsidRPr="00AA4A0B">
        <w:rPr>
          <w:lang w:val="nl-NL"/>
        </w:rPr>
        <w:t>van de bezochte et</w:t>
      </w:r>
      <w:r w:rsidR="005435CF" w:rsidRPr="00AA4A0B">
        <w:rPr>
          <w:lang w:val="nl-NL"/>
        </w:rPr>
        <w:t>ablissementen doen aan selectieve sortering van</w:t>
      </w:r>
      <w:r w:rsidR="00F13BEB" w:rsidRPr="00AA4A0B">
        <w:rPr>
          <w:lang w:val="nl-NL"/>
        </w:rPr>
        <w:t xml:space="preserve"> papier-karton, meestal in een zak of los. De verzameling in containers gebeurde slechts in 10% van de bezochte etablissementen. </w:t>
      </w:r>
    </w:p>
    <w:p w:rsidR="00DA6109" w:rsidRPr="00AA4A0B" w:rsidRDefault="00DA6109" w:rsidP="00DC5041">
      <w:pPr>
        <w:pStyle w:val="Paragraphedeliste"/>
        <w:numPr>
          <w:ilvl w:val="0"/>
          <w:numId w:val="21"/>
        </w:numPr>
        <w:rPr>
          <w:lang w:val="nl-NL"/>
        </w:rPr>
      </w:pPr>
      <w:r w:rsidRPr="00AA4A0B">
        <w:rPr>
          <w:lang w:val="nl-NL"/>
        </w:rPr>
        <w:t xml:space="preserve">85% </w:t>
      </w:r>
      <w:r w:rsidR="00F13BEB" w:rsidRPr="00AA4A0B">
        <w:rPr>
          <w:lang w:val="nl-NL"/>
        </w:rPr>
        <w:t>van de bezochte etablissementen</w:t>
      </w:r>
      <w:r w:rsidR="005435CF" w:rsidRPr="00AA4A0B">
        <w:rPr>
          <w:lang w:val="nl-NL"/>
        </w:rPr>
        <w:t xml:space="preserve"> doen aan selectieve sortering van</w:t>
      </w:r>
      <w:r w:rsidR="002B470D" w:rsidRPr="00AA4A0B">
        <w:rPr>
          <w:lang w:val="nl-NL"/>
        </w:rPr>
        <w:t xml:space="preserve"> glas, dat wordt opgehaald, </w:t>
      </w:r>
      <w:r w:rsidR="00681301">
        <w:rPr>
          <w:lang w:val="nl-NL"/>
        </w:rPr>
        <w:t xml:space="preserve">of </w:t>
      </w:r>
      <w:r w:rsidR="002B470D" w:rsidRPr="00AA4A0B">
        <w:rPr>
          <w:lang w:val="nl-NL"/>
        </w:rPr>
        <w:t xml:space="preserve">rechtstreeks in de glascontainer gedeponeerd of los op het voetpad gezet. </w:t>
      </w:r>
      <w:r w:rsidR="00F13BEB" w:rsidRPr="00AA4A0B">
        <w:rPr>
          <w:lang w:val="nl-NL"/>
        </w:rPr>
        <w:t xml:space="preserve"> </w:t>
      </w:r>
    </w:p>
    <w:p w:rsidR="00DA6109" w:rsidRPr="00AA4A0B" w:rsidRDefault="00DA6109" w:rsidP="00DC5041">
      <w:pPr>
        <w:pStyle w:val="Paragraphedeliste"/>
        <w:numPr>
          <w:ilvl w:val="0"/>
          <w:numId w:val="21"/>
        </w:numPr>
        <w:rPr>
          <w:lang w:val="nl-NL"/>
        </w:rPr>
      </w:pPr>
      <w:r w:rsidRPr="00AA4A0B">
        <w:rPr>
          <w:lang w:val="nl-NL"/>
        </w:rPr>
        <w:t xml:space="preserve">2 </w:t>
      </w:r>
      <w:r w:rsidR="002B470D" w:rsidRPr="00AA4A0B">
        <w:rPr>
          <w:lang w:val="nl-NL"/>
        </w:rPr>
        <w:t>b</w:t>
      </w:r>
      <w:r w:rsidR="005435CF" w:rsidRPr="00AA4A0B">
        <w:rPr>
          <w:lang w:val="nl-NL"/>
        </w:rPr>
        <w:t>ezochte etablissementen doen aan selectieve sortering van</w:t>
      </w:r>
      <w:r w:rsidR="002B470D" w:rsidRPr="00AA4A0B">
        <w:rPr>
          <w:lang w:val="nl-NL"/>
        </w:rPr>
        <w:t xml:space="preserve"> organisch afval. Dit afval is bestemd voor de wijkcompost of wordt door een privébedrijf opgehaald. </w:t>
      </w:r>
    </w:p>
    <w:p w:rsidR="00DA6109" w:rsidRPr="00AA4A0B" w:rsidRDefault="00DA6109" w:rsidP="00DC5041">
      <w:pPr>
        <w:pStyle w:val="Paragraphedeliste"/>
        <w:numPr>
          <w:ilvl w:val="0"/>
          <w:numId w:val="21"/>
        </w:numPr>
        <w:rPr>
          <w:lang w:val="nl-NL"/>
        </w:rPr>
      </w:pPr>
      <w:r w:rsidRPr="00AA4A0B">
        <w:rPr>
          <w:lang w:val="nl-NL"/>
        </w:rPr>
        <w:t xml:space="preserve">60% </w:t>
      </w:r>
      <w:r w:rsidR="005435CF" w:rsidRPr="00AA4A0B">
        <w:rPr>
          <w:lang w:val="nl-NL"/>
        </w:rPr>
        <w:t>van de etablissementen doen aan selectieve sortering van</w:t>
      </w:r>
      <w:r w:rsidR="002B470D" w:rsidRPr="00AA4A0B">
        <w:rPr>
          <w:lang w:val="nl-NL"/>
        </w:rPr>
        <w:t xml:space="preserve"> het PMD. De meesten laten hun PMD ophalen in zakken (92%), terwijl de rest</w:t>
      </w:r>
      <w:r w:rsidR="005435CF" w:rsidRPr="00AA4A0B">
        <w:rPr>
          <w:lang w:val="nl-NL"/>
        </w:rPr>
        <w:t xml:space="preserve"> containers gebruikt</w:t>
      </w:r>
      <w:r w:rsidR="002B470D" w:rsidRPr="00AA4A0B">
        <w:rPr>
          <w:lang w:val="nl-NL"/>
        </w:rPr>
        <w:t xml:space="preserve">. </w:t>
      </w:r>
    </w:p>
    <w:p w:rsidR="00DA6109" w:rsidRPr="00AA4A0B" w:rsidRDefault="00DA6109" w:rsidP="00DC5041">
      <w:pPr>
        <w:pStyle w:val="Paragraphedeliste"/>
        <w:numPr>
          <w:ilvl w:val="0"/>
          <w:numId w:val="21"/>
        </w:numPr>
        <w:rPr>
          <w:lang w:val="nl-NL"/>
        </w:rPr>
      </w:pPr>
      <w:r w:rsidRPr="00AA4A0B">
        <w:rPr>
          <w:lang w:val="nl-NL"/>
        </w:rPr>
        <w:t xml:space="preserve">61% </w:t>
      </w:r>
      <w:r w:rsidR="002B470D" w:rsidRPr="00AA4A0B">
        <w:rPr>
          <w:lang w:val="nl-NL"/>
        </w:rPr>
        <w:t>van de b</w:t>
      </w:r>
      <w:r w:rsidR="005435CF" w:rsidRPr="00AA4A0B">
        <w:rPr>
          <w:lang w:val="nl-NL"/>
        </w:rPr>
        <w:t>ezochte etablissementen doen aan selectieve sortering van</w:t>
      </w:r>
      <w:r w:rsidR="002B470D" w:rsidRPr="00AA4A0B">
        <w:rPr>
          <w:lang w:val="nl-NL"/>
        </w:rPr>
        <w:t xml:space="preserve"> gebruikte frituurolie. De olie kan worden opgehaald door een privébedrijf, worden meegenomen door de leverancier of naar het containerpark </w:t>
      </w:r>
      <w:r w:rsidR="007804FC" w:rsidRPr="00AA4A0B">
        <w:rPr>
          <w:lang w:val="nl-NL"/>
        </w:rPr>
        <w:t xml:space="preserve">worden </w:t>
      </w:r>
      <w:r w:rsidR="002B470D" w:rsidRPr="00AA4A0B">
        <w:rPr>
          <w:lang w:val="nl-NL"/>
        </w:rPr>
        <w:t xml:space="preserve">gebracht. </w:t>
      </w:r>
    </w:p>
    <w:p w:rsidR="00DA6109" w:rsidRPr="00AA4A0B" w:rsidRDefault="007804FC" w:rsidP="00DA6109">
      <w:pPr>
        <w:rPr>
          <w:lang w:val="nl-NL"/>
        </w:rPr>
      </w:pPr>
      <w:r w:rsidRPr="00AA4A0B">
        <w:rPr>
          <w:lang w:val="nl-NL"/>
        </w:rPr>
        <w:t xml:space="preserve">Deze resultaten zouden de praktijken </w:t>
      </w:r>
      <w:r w:rsidR="002B470D" w:rsidRPr="00AA4A0B">
        <w:rPr>
          <w:lang w:val="nl-NL"/>
        </w:rPr>
        <w:t>in het Brussels Hoofdstedelijk Gewest</w:t>
      </w:r>
      <w:r w:rsidRPr="00AA4A0B">
        <w:rPr>
          <w:lang w:val="nl-NL"/>
        </w:rPr>
        <w:t xml:space="preserve"> weerspiegelen</w:t>
      </w:r>
      <w:r w:rsidRPr="00AA4A0B">
        <w:rPr>
          <w:rStyle w:val="Appelnotedebasdep"/>
          <w:lang w:val="nl-NL"/>
        </w:rPr>
        <w:footnoteReference w:id="3"/>
      </w:r>
      <w:r w:rsidRPr="00AA4A0B">
        <w:rPr>
          <w:lang w:val="nl-NL"/>
        </w:rPr>
        <w:t xml:space="preserve"> </w:t>
      </w:r>
      <w:r w:rsidR="002B470D" w:rsidRPr="00AA4A0B">
        <w:rPr>
          <w:lang w:val="nl-NL"/>
        </w:rPr>
        <w:t xml:space="preserve">. </w:t>
      </w:r>
    </w:p>
    <w:p w:rsidR="00DA6109" w:rsidRPr="00AA4A0B" w:rsidRDefault="00CF21C0" w:rsidP="00DA6109">
      <w:pPr>
        <w:pStyle w:val="Titre5"/>
        <w:numPr>
          <w:ilvl w:val="4"/>
          <w:numId w:val="0"/>
        </w:numPr>
        <w:tabs>
          <w:tab w:val="left" w:pos="426"/>
        </w:tabs>
        <w:spacing w:before="120" w:after="120"/>
        <w:ind w:left="2835" w:right="-301" w:hanging="2835"/>
        <w:rPr>
          <w:lang w:val="nl-NL"/>
        </w:rPr>
      </w:pPr>
      <w:r w:rsidRPr="00AA4A0B">
        <w:rPr>
          <w:lang w:val="nl-NL"/>
        </w:rPr>
        <w:tab/>
      </w:r>
      <w:r w:rsidR="002B470D" w:rsidRPr="00AA4A0B">
        <w:rPr>
          <w:lang w:val="nl-NL"/>
        </w:rPr>
        <w:t xml:space="preserve">Samenstelling van het restafval </w:t>
      </w:r>
    </w:p>
    <w:p w:rsidR="00EC29FA" w:rsidRPr="00AA4A0B" w:rsidRDefault="002B470D" w:rsidP="002107D9">
      <w:pPr>
        <w:rPr>
          <w:lang w:val="nl-NL"/>
        </w:rPr>
      </w:pPr>
      <w:r w:rsidRPr="00AA4A0B">
        <w:rPr>
          <w:lang w:val="nl-NL"/>
        </w:rPr>
        <w:t>In de mate va</w:t>
      </w:r>
      <w:r w:rsidR="007804FC" w:rsidRPr="00AA4A0B">
        <w:rPr>
          <w:lang w:val="nl-NL"/>
        </w:rPr>
        <w:t>n het mogelijke werd het restaf</w:t>
      </w:r>
      <w:r w:rsidRPr="00AA4A0B">
        <w:rPr>
          <w:lang w:val="nl-NL"/>
        </w:rPr>
        <w:t xml:space="preserve">val geobserveerd om de samenstelling ervan visueel te identificeren. Hieruit blijkt dat het </w:t>
      </w:r>
      <w:r w:rsidR="00681301">
        <w:rPr>
          <w:lang w:val="nl-NL"/>
        </w:rPr>
        <w:t>deel</w:t>
      </w:r>
      <w:r w:rsidRPr="00AA4A0B">
        <w:rPr>
          <w:lang w:val="nl-NL"/>
        </w:rPr>
        <w:t xml:space="preserve"> organi</w:t>
      </w:r>
      <w:r w:rsidR="00A06CCF" w:rsidRPr="00AA4A0B">
        <w:rPr>
          <w:lang w:val="nl-NL"/>
        </w:rPr>
        <w:t xml:space="preserve">sch afval </w:t>
      </w:r>
      <w:r w:rsidR="00EA5C2D" w:rsidRPr="00AA4A0B">
        <w:rPr>
          <w:lang w:val="nl-NL"/>
        </w:rPr>
        <w:t xml:space="preserve">45% tot 80% </w:t>
      </w:r>
      <w:r w:rsidR="00681301">
        <w:rPr>
          <w:lang w:val="nl-NL"/>
        </w:rPr>
        <w:t>van</w:t>
      </w:r>
      <w:r w:rsidR="00681301" w:rsidRPr="00AA4A0B">
        <w:rPr>
          <w:lang w:val="nl-NL"/>
        </w:rPr>
        <w:t xml:space="preserve"> </w:t>
      </w:r>
      <w:r w:rsidR="00A06CCF" w:rsidRPr="00AA4A0B">
        <w:rPr>
          <w:lang w:val="nl-NL"/>
        </w:rPr>
        <w:t>het rest</w:t>
      </w:r>
      <w:r w:rsidRPr="00AA4A0B">
        <w:rPr>
          <w:lang w:val="nl-NL"/>
        </w:rPr>
        <w:t>afval van het restaurant k</w:t>
      </w:r>
      <w:r w:rsidR="007804FC" w:rsidRPr="00AA4A0B">
        <w:rPr>
          <w:lang w:val="nl-NL"/>
        </w:rPr>
        <w:t xml:space="preserve">an </w:t>
      </w:r>
      <w:r w:rsidR="00EA5C2D">
        <w:rPr>
          <w:lang w:val="nl-NL"/>
        </w:rPr>
        <w:t>voorstellen</w:t>
      </w:r>
      <w:r w:rsidR="007804FC" w:rsidRPr="00AA4A0B">
        <w:rPr>
          <w:lang w:val="nl-NL"/>
        </w:rPr>
        <w:t>. Bij snacks en fast</w:t>
      </w:r>
      <w:r w:rsidRPr="00AA4A0B">
        <w:rPr>
          <w:lang w:val="nl-NL"/>
        </w:rPr>
        <w:t xml:space="preserve">food is er minder organisch afval, gemiddeld 30-35%. De rest van de zak bestaat gewoonlijk uit plastic verpakkingen, papieren servetten en soms een beetje PMD en karton. </w:t>
      </w:r>
    </w:p>
    <w:p w:rsidR="00DA6109" w:rsidRPr="00AA4A0B" w:rsidRDefault="00DA6109" w:rsidP="00DC5041">
      <w:pPr>
        <w:rPr>
          <w:lang w:val="nl-NL"/>
        </w:rPr>
      </w:pPr>
    </w:p>
    <w:p w:rsidR="00DA6109" w:rsidRPr="00AA4A0B" w:rsidRDefault="00A06CCF" w:rsidP="00DC5041">
      <w:pPr>
        <w:rPr>
          <w:lang w:val="nl-NL"/>
        </w:rPr>
      </w:pPr>
      <w:r w:rsidRPr="00AA4A0B">
        <w:rPr>
          <w:lang w:val="nl-NL"/>
        </w:rPr>
        <w:t xml:space="preserve">Het </w:t>
      </w:r>
      <w:r w:rsidR="007F7915" w:rsidRPr="00AA4A0B">
        <w:rPr>
          <w:lang w:val="nl-NL"/>
        </w:rPr>
        <w:t xml:space="preserve"> </w:t>
      </w:r>
      <w:r w:rsidRPr="00AA4A0B">
        <w:rPr>
          <w:lang w:val="nl-NL"/>
        </w:rPr>
        <w:t>rest</w:t>
      </w:r>
      <w:r w:rsidR="007F7915" w:rsidRPr="00AA4A0B">
        <w:rPr>
          <w:lang w:val="nl-NL"/>
        </w:rPr>
        <w:t xml:space="preserve">afval van hotels bestaat voor bijna 50% uit organisch afval. De rest is vooral </w:t>
      </w:r>
      <w:r w:rsidRPr="00AA4A0B">
        <w:rPr>
          <w:lang w:val="nl-NL"/>
        </w:rPr>
        <w:t xml:space="preserve">papier, verpakkingen en PMD. </w:t>
      </w:r>
    </w:p>
    <w:p w:rsidR="00DA6109" w:rsidRPr="00AA4A0B" w:rsidRDefault="00DA6109" w:rsidP="00DA6109">
      <w:pPr>
        <w:pStyle w:val="Puce2"/>
        <w:numPr>
          <w:ilvl w:val="0"/>
          <w:numId w:val="0"/>
        </w:numPr>
        <w:ind w:left="851"/>
        <w:rPr>
          <w:lang w:val="nl-NL"/>
        </w:rPr>
      </w:pPr>
    </w:p>
    <w:p w:rsidR="00DA6109" w:rsidRPr="00AA4A0B" w:rsidRDefault="00A06CCF" w:rsidP="00DA6109">
      <w:pPr>
        <w:rPr>
          <w:lang w:val="nl-NL"/>
        </w:rPr>
      </w:pPr>
      <w:r w:rsidRPr="00AA4A0B">
        <w:rPr>
          <w:lang w:val="nl-NL"/>
        </w:rPr>
        <w:t xml:space="preserve">Weinig bezochte etablissementen hebben reeds nagedacht over het organisch afval. Enkele etablissementen hebben evenwel aangegeven dat ze bij de samenstelling van hun gerechten voedselverspilling proberen te vermijden. </w:t>
      </w:r>
    </w:p>
    <w:p w:rsidR="00CF21C0" w:rsidRPr="00AA4A0B" w:rsidRDefault="00CF21C0" w:rsidP="00DA6109">
      <w:pPr>
        <w:rPr>
          <w:lang w:val="nl-NL"/>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232"/>
      </w:tblGrid>
      <w:tr w:rsidR="00CF21C0" w:rsidRPr="00AA4A0B" w:rsidTr="002107D9">
        <w:tc>
          <w:tcPr>
            <w:tcW w:w="4806" w:type="dxa"/>
            <w:vAlign w:val="center"/>
          </w:tcPr>
          <w:p w:rsidR="00CF21C0" w:rsidRPr="00AA4A0B" w:rsidRDefault="00CF21C0" w:rsidP="002107D9">
            <w:pPr>
              <w:ind w:left="0" w:right="54"/>
              <w:jc w:val="right"/>
              <w:rPr>
                <w:lang w:val="nl-NL"/>
              </w:rPr>
            </w:pPr>
            <w:r w:rsidRPr="00AA4A0B">
              <w:rPr>
                <w:noProof/>
                <w:lang w:val="fr-BE" w:eastAsia="fr-BE"/>
              </w:rPr>
              <w:drawing>
                <wp:inline distT="0" distB="0" distL="0" distR="0" wp14:anchorId="26832091" wp14:editId="0F852070">
                  <wp:extent cx="2047875" cy="1537839"/>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_toutvenant.jpg"/>
                          <pic:cNvPicPr/>
                        </pic:nvPicPr>
                        <pic:blipFill>
                          <a:blip r:embed="rId9">
                            <a:extLst>
                              <a:ext uri="{28A0092B-C50C-407E-A947-70E740481C1C}">
                                <a14:useLocalDpi xmlns:a14="http://schemas.microsoft.com/office/drawing/2010/main" val="0"/>
                              </a:ext>
                            </a:extLst>
                          </a:blip>
                          <a:stretch>
                            <a:fillRect/>
                          </a:stretch>
                        </pic:blipFill>
                        <pic:spPr>
                          <a:xfrm>
                            <a:off x="0" y="0"/>
                            <a:ext cx="2047875" cy="1537839"/>
                          </a:xfrm>
                          <a:prstGeom prst="rect">
                            <a:avLst/>
                          </a:prstGeom>
                        </pic:spPr>
                      </pic:pic>
                    </a:graphicData>
                  </a:graphic>
                </wp:inline>
              </w:drawing>
            </w:r>
          </w:p>
        </w:tc>
        <w:tc>
          <w:tcPr>
            <w:tcW w:w="4232" w:type="dxa"/>
            <w:vAlign w:val="center"/>
          </w:tcPr>
          <w:p w:rsidR="00CF21C0" w:rsidRPr="00AA4A0B" w:rsidRDefault="00CF21C0" w:rsidP="002107D9">
            <w:pPr>
              <w:keepNext/>
              <w:ind w:left="0"/>
              <w:jc w:val="left"/>
              <w:rPr>
                <w:lang w:val="nl-NL"/>
              </w:rPr>
            </w:pPr>
            <w:r w:rsidRPr="00AA4A0B">
              <w:rPr>
                <w:noProof/>
                <w:lang w:val="fr-BE" w:eastAsia="fr-BE"/>
              </w:rPr>
              <w:drawing>
                <wp:inline distT="0" distB="0" distL="0" distR="0" wp14:anchorId="013A204A" wp14:editId="2DF561D1">
                  <wp:extent cx="1981200" cy="148776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_toutvenant.jpg"/>
                          <pic:cNvPicPr/>
                        </pic:nvPicPr>
                        <pic:blipFill>
                          <a:blip r:embed="rId10">
                            <a:extLst>
                              <a:ext uri="{28A0092B-C50C-407E-A947-70E740481C1C}">
                                <a14:useLocalDpi xmlns:a14="http://schemas.microsoft.com/office/drawing/2010/main" val="0"/>
                              </a:ext>
                            </a:extLst>
                          </a:blip>
                          <a:stretch>
                            <a:fillRect/>
                          </a:stretch>
                        </pic:blipFill>
                        <pic:spPr>
                          <a:xfrm>
                            <a:off x="0" y="0"/>
                            <a:ext cx="1988333" cy="1493125"/>
                          </a:xfrm>
                          <a:prstGeom prst="rect">
                            <a:avLst/>
                          </a:prstGeom>
                        </pic:spPr>
                      </pic:pic>
                    </a:graphicData>
                  </a:graphic>
                </wp:inline>
              </w:drawing>
            </w:r>
          </w:p>
        </w:tc>
      </w:tr>
    </w:tbl>
    <w:p w:rsidR="00CF21C0" w:rsidRPr="00AA4A0B" w:rsidRDefault="00A06CCF" w:rsidP="00CF21C0">
      <w:pPr>
        <w:pStyle w:val="Lgende"/>
        <w:rPr>
          <w:sz w:val="14"/>
          <w:lang w:val="nl-NL"/>
        </w:rPr>
      </w:pPr>
      <w:r w:rsidRPr="00AA4A0B">
        <w:rPr>
          <w:sz w:val="14"/>
          <w:lang w:val="nl-NL"/>
        </w:rPr>
        <w:t>Afbeelding</w:t>
      </w:r>
      <w:r w:rsidR="00CF21C0" w:rsidRPr="00AA4A0B">
        <w:rPr>
          <w:sz w:val="14"/>
          <w:lang w:val="nl-NL"/>
        </w:rPr>
        <w:t xml:space="preserve"> </w:t>
      </w:r>
      <w:r w:rsidR="00CF21C0" w:rsidRPr="00AA4A0B">
        <w:rPr>
          <w:sz w:val="14"/>
          <w:lang w:val="nl-NL"/>
        </w:rPr>
        <w:fldChar w:fldCharType="begin"/>
      </w:r>
      <w:r w:rsidR="00CF21C0" w:rsidRPr="00AA4A0B">
        <w:rPr>
          <w:sz w:val="14"/>
          <w:lang w:val="nl-NL"/>
        </w:rPr>
        <w:instrText xml:space="preserve"> SEQ Figure \* ARABIC </w:instrText>
      </w:r>
      <w:r w:rsidR="00CF21C0" w:rsidRPr="00AA4A0B">
        <w:rPr>
          <w:sz w:val="14"/>
          <w:lang w:val="nl-NL"/>
        </w:rPr>
        <w:fldChar w:fldCharType="separate"/>
      </w:r>
      <w:r w:rsidR="00C44484" w:rsidRPr="00AA4A0B">
        <w:rPr>
          <w:noProof/>
          <w:sz w:val="14"/>
          <w:lang w:val="nl-NL"/>
        </w:rPr>
        <w:t>2</w:t>
      </w:r>
      <w:r w:rsidR="00CF21C0" w:rsidRPr="00AA4A0B">
        <w:rPr>
          <w:sz w:val="14"/>
          <w:lang w:val="nl-NL"/>
        </w:rPr>
        <w:fldChar w:fldCharType="end"/>
      </w:r>
      <w:r w:rsidR="00CF21C0" w:rsidRPr="00AA4A0B">
        <w:rPr>
          <w:sz w:val="14"/>
          <w:lang w:val="nl-NL"/>
        </w:rPr>
        <w:t xml:space="preserve"> : </w:t>
      </w:r>
      <w:r w:rsidRPr="00AA4A0B">
        <w:rPr>
          <w:sz w:val="14"/>
          <w:lang w:val="nl-NL"/>
        </w:rPr>
        <w:t>Samenstell</w:t>
      </w:r>
      <w:r w:rsidR="007804FC" w:rsidRPr="00AA4A0B">
        <w:rPr>
          <w:sz w:val="14"/>
          <w:lang w:val="nl-NL"/>
        </w:rPr>
        <w:t>ing van restaf</w:t>
      </w:r>
      <w:r w:rsidRPr="00AA4A0B">
        <w:rPr>
          <w:sz w:val="14"/>
          <w:lang w:val="nl-NL"/>
        </w:rPr>
        <w:t>val (Bron</w:t>
      </w:r>
      <w:r w:rsidR="00CF21C0" w:rsidRPr="00AA4A0B">
        <w:rPr>
          <w:sz w:val="14"/>
          <w:lang w:val="nl-NL"/>
        </w:rPr>
        <w:t xml:space="preserve"> : Intertek-RDC)</w:t>
      </w:r>
    </w:p>
    <w:tbl>
      <w:tblPr>
        <w:tblW w:w="0" w:type="auto"/>
        <w:tblInd w:w="2" w:type="dxa"/>
        <w:tblLook w:val="00A0" w:firstRow="1" w:lastRow="0" w:firstColumn="1" w:lastColumn="0" w:noHBand="0" w:noVBand="0"/>
      </w:tblPr>
      <w:tblGrid>
        <w:gridCol w:w="4927"/>
        <w:gridCol w:w="4927"/>
      </w:tblGrid>
      <w:tr w:rsidR="00DA6109" w:rsidRPr="00681301" w:rsidTr="00DA6109">
        <w:tc>
          <w:tcPr>
            <w:tcW w:w="4927" w:type="dxa"/>
            <w:shd w:val="clear" w:color="auto" w:fill="auto"/>
          </w:tcPr>
          <w:p w:rsidR="00DA6109" w:rsidRPr="00AA4A0B" w:rsidRDefault="00DA6109" w:rsidP="002107D9">
            <w:pPr>
              <w:pStyle w:val="Lgende"/>
              <w:jc w:val="both"/>
              <w:rPr>
                <w:rFonts w:cs="Times New Roman"/>
                <w:lang w:val="nl-NL"/>
              </w:rPr>
            </w:pPr>
          </w:p>
        </w:tc>
        <w:tc>
          <w:tcPr>
            <w:tcW w:w="4927" w:type="dxa"/>
            <w:shd w:val="clear" w:color="auto" w:fill="auto"/>
          </w:tcPr>
          <w:p w:rsidR="00DA6109" w:rsidRPr="00AA4A0B" w:rsidRDefault="00DA6109" w:rsidP="00DA6109">
            <w:pPr>
              <w:pStyle w:val="Lgende"/>
              <w:rPr>
                <w:lang w:val="nl-NL"/>
              </w:rPr>
            </w:pPr>
          </w:p>
        </w:tc>
      </w:tr>
    </w:tbl>
    <w:p w:rsidR="00DA6109" w:rsidRPr="00AA4A0B" w:rsidRDefault="00F64126" w:rsidP="00CF21C0">
      <w:pPr>
        <w:pStyle w:val="BETitreNiveau2"/>
        <w:numPr>
          <w:ilvl w:val="2"/>
          <w:numId w:val="1"/>
        </w:numPr>
        <w:rPr>
          <w:lang w:val="nl-NL"/>
        </w:rPr>
      </w:pPr>
      <w:r w:rsidRPr="00AA4A0B">
        <w:rPr>
          <w:lang w:val="nl-NL"/>
        </w:rPr>
        <w:t xml:space="preserve">KWANTITATIEVE </w:t>
      </w:r>
      <w:r w:rsidR="00A06CCF" w:rsidRPr="00AA4A0B">
        <w:rPr>
          <w:lang w:val="nl-NL"/>
        </w:rPr>
        <w:t>RESULTATEN</w:t>
      </w:r>
    </w:p>
    <w:p w:rsidR="00DC5041" w:rsidRPr="00AA4A0B" w:rsidRDefault="00DC5041">
      <w:pPr>
        <w:rPr>
          <w:lang w:val="nl-NL"/>
        </w:rPr>
      </w:pPr>
    </w:p>
    <w:p w:rsidR="00DA6109" w:rsidRPr="00AA4A0B" w:rsidRDefault="00A06CCF">
      <w:pPr>
        <w:rPr>
          <w:lang w:val="nl-NL"/>
        </w:rPr>
      </w:pPr>
      <w:r w:rsidRPr="00AA4A0B">
        <w:rPr>
          <w:lang w:val="nl-NL"/>
        </w:rPr>
        <w:t xml:space="preserve">In totaal wordt bijna 40 000 ton afval geproduceerd door de horeca in het Brussels Hoofdstedelijk Gewest. </w:t>
      </w:r>
    </w:p>
    <w:bookmarkStart w:id="0" w:name="_MON_1495371277"/>
    <w:bookmarkEnd w:id="0"/>
    <w:p w:rsidR="00A55BDA" w:rsidRPr="00AA4A0B" w:rsidRDefault="00EA5C2D" w:rsidP="00BB54E8">
      <w:pPr>
        <w:pStyle w:val="Lgende"/>
        <w:rPr>
          <w:sz w:val="14"/>
          <w:lang w:val="nl-NL"/>
        </w:rPr>
      </w:pPr>
      <w:r>
        <w:rPr>
          <w:lang w:val="nl-NL"/>
        </w:rPr>
        <w:object w:dxaOrig="10180" w:dyaOrig="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5.45pt;height:89.2pt" o:ole="">
            <v:imagedata r:id="rId11" o:title=""/>
          </v:shape>
          <o:OLEObject Type="Embed" ProgID="Excel.Sheet.12" ShapeID="_x0000_i1032" DrawAspect="Content" ObjectID="_1495874254" r:id="rId12"/>
        </w:object>
      </w:r>
      <w:r w:rsidR="00A06CCF" w:rsidRPr="00AA4A0B">
        <w:rPr>
          <w:sz w:val="14"/>
          <w:lang w:val="nl-NL"/>
        </w:rPr>
        <w:t>Afbeelding</w:t>
      </w:r>
      <w:r w:rsidR="00611D2C" w:rsidRPr="00AA4A0B">
        <w:rPr>
          <w:sz w:val="14"/>
          <w:lang w:val="nl-NL"/>
        </w:rPr>
        <w:t xml:space="preserve"> </w:t>
      </w:r>
      <w:r w:rsidR="00611D2C" w:rsidRPr="00AA4A0B">
        <w:rPr>
          <w:sz w:val="14"/>
          <w:lang w:val="nl-NL"/>
        </w:rPr>
        <w:fldChar w:fldCharType="begin"/>
      </w:r>
      <w:r w:rsidR="00611D2C" w:rsidRPr="00AA4A0B">
        <w:rPr>
          <w:sz w:val="14"/>
          <w:lang w:val="nl-NL"/>
        </w:rPr>
        <w:instrText xml:space="preserve"> SEQ Figure \* ARABIC </w:instrText>
      </w:r>
      <w:r w:rsidR="00611D2C" w:rsidRPr="00AA4A0B">
        <w:rPr>
          <w:sz w:val="14"/>
          <w:lang w:val="nl-NL"/>
        </w:rPr>
        <w:fldChar w:fldCharType="separate"/>
      </w:r>
      <w:r w:rsidR="00C44484" w:rsidRPr="00AA4A0B">
        <w:rPr>
          <w:noProof/>
          <w:sz w:val="14"/>
          <w:lang w:val="nl-NL"/>
        </w:rPr>
        <w:t>3</w:t>
      </w:r>
      <w:r w:rsidR="00611D2C" w:rsidRPr="00AA4A0B">
        <w:rPr>
          <w:sz w:val="14"/>
          <w:lang w:val="nl-NL"/>
        </w:rPr>
        <w:fldChar w:fldCharType="end"/>
      </w:r>
      <w:r w:rsidR="00611D2C" w:rsidRPr="00AA4A0B">
        <w:rPr>
          <w:sz w:val="14"/>
          <w:lang w:val="nl-NL"/>
        </w:rPr>
        <w:t xml:space="preserve">: </w:t>
      </w:r>
      <w:r w:rsidR="00A06CCF" w:rsidRPr="00AA4A0B">
        <w:rPr>
          <w:sz w:val="14"/>
          <w:lang w:val="nl-NL"/>
        </w:rPr>
        <w:t xml:space="preserve">Synthese van de geschatte hoeveelheid verzameld afval in de horecasector in het BHG per jaar </w:t>
      </w:r>
    </w:p>
    <w:p w:rsidR="002107D9" w:rsidRPr="00AA4A0B" w:rsidRDefault="002107D9" w:rsidP="00DF6B6F">
      <w:pPr>
        <w:rPr>
          <w:lang w:val="nl-NL"/>
        </w:rPr>
      </w:pPr>
    </w:p>
    <w:p w:rsidR="00DA6109" w:rsidRPr="00AA4A0B" w:rsidRDefault="00A06CCF" w:rsidP="00DF6B6F">
      <w:pPr>
        <w:rPr>
          <w:lang w:val="nl-NL"/>
        </w:rPr>
      </w:pPr>
      <w:r w:rsidRPr="00AA4A0B">
        <w:rPr>
          <w:lang w:val="nl-NL"/>
        </w:rPr>
        <w:t>Het restafval vertegenwoordigt het grootste deel (49% in gewicht) van het afval in de horeca. Het selectief verzameld glas komt op de tweede plaats (25%)</w:t>
      </w:r>
      <w:r w:rsidR="0081342C">
        <w:rPr>
          <w:lang w:val="nl-NL"/>
        </w:rPr>
        <w:t>,</w:t>
      </w:r>
      <w:r w:rsidR="003D0885" w:rsidRPr="00AA4A0B">
        <w:rPr>
          <w:lang w:val="nl-NL"/>
        </w:rPr>
        <w:t xml:space="preserve"> wat het totale gewicht van de afvalstoffen betreft, gevolgd door papier-karton met 17%. </w:t>
      </w:r>
      <w:r w:rsidRPr="00AA4A0B">
        <w:rPr>
          <w:lang w:val="nl-NL"/>
        </w:rPr>
        <w:t xml:space="preserve"> </w:t>
      </w:r>
    </w:p>
    <w:p w:rsidR="00DA6109" w:rsidRPr="00AA4A0B" w:rsidRDefault="00DA6109" w:rsidP="00DF6B6F">
      <w:pPr>
        <w:rPr>
          <w:lang w:val="nl-NL"/>
        </w:rPr>
      </w:pPr>
    </w:p>
    <w:p w:rsidR="00EC5CAC" w:rsidRPr="00AA4A0B" w:rsidRDefault="003D0885" w:rsidP="00EC5CAC">
      <w:pPr>
        <w:rPr>
          <w:lang w:val="nl-NL"/>
        </w:rPr>
      </w:pPr>
      <w:r w:rsidRPr="00AA4A0B">
        <w:rPr>
          <w:lang w:val="nl-NL"/>
        </w:rPr>
        <w:t>De studieresultaten zul</w:t>
      </w:r>
      <w:r w:rsidR="0081342C">
        <w:rPr>
          <w:lang w:val="nl-NL"/>
        </w:rPr>
        <w:t>len zeker nog evolueren als gevolg van</w:t>
      </w:r>
      <w:r w:rsidRPr="00AA4A0B">
        <w:rPr>
          <w:lang w:val="nl-NL"/>
        </w:rPr>
        <w:t xml:space="preserve"> de verplichte sortering die in februari 2013 in werking</w:t>
      </w:r>
      <w:r w:rsidR="004B4B31">
        <w:rPr>
          <w:lang w:val="nl-NL"/>
        </w:rPr>
        <w:t xml:space="preserve"> is ge</w:t>
      </w:r>
      <w:r w:rsidRPr="00AA4A0B">
        <w:rPr>
          <w:lang w:val="nl-NL"/>
        </w:rPr>
        <w:t>treden</w:t>
      </w:r>
      <w:r w:rsidR="004B4B31">
        <w:rPr>
          <w:lang w:val="nl-NL"/>
        </w:rPr>
        <w:t xml:space="preserve"> </w:t>
      </w:r>
      <w:r w:rsidRPr="00AA4A0B">
        <w:rPr>
          <w:lang w:val="nl-NL"/>
        </w:rPr>
        <w:t>. Deze verplichting kan inderdaad leiden tot wijzigingen in de verhouding/hoeveelheid van selectieve inzameling die in het kade</w:t>
      </w:r>
      <w:r w:rsidR="00A73CAF" w:rsidRPr="00AA4A0B">
        <w:rPr>
          <w:lang w:val="nl-NL"/>
        </w:rPr>
        <w:t>r van deze studie werd verkregen</w:t>
      </w:r>
      <w:r w:rsidRPr="00AA4A0B">
        <w:rPr>
          <w:lang w:val="nl-NL"/>
        </w:rPr>
        <w:t xml:space="preserve">. </w:t>
      </w:r>
    </w:p>
    <w:p w:rsidR="000C3D39" w:rsidRPr="00AA4A0B" w:rsidRDefault="000C3D39" w:rsidP="00EC5CAC">
      <w:pPr>
        <w:rPr>
          <w:lang w:val="nl-NL"/>
        </w:rPr>
      </w:pPr>
    </w:p>
    <w:p w:rsidR="00BB54E8" w:rsidRPr="00AA4A0B" w:rsidRDefault="004738E5" w:rsidP="00BB54E8">
      <w:pPr>
        <w:rPr>
          <w:lang w:val="nl-NL"/>
        </w:rPr>
      </w:pPr>
      <w:r w:rsidRPr="00AA4A0B">
        <w:rPr>
          <w:lang w:val="nl-NL"/>
        </w:rPr>
        <w:t>We merken op dat de volgende resultaten enkel ter informatie zijn. Aangezien de etablissementen zelf niet over nauwkeurige kwantitatieve gegevens beschikken, zijn de gegevens die als basis vo</w:t>
      </w:r>
      <w:bookmarkStart w:id="1" w:name="_GoBack"/>
      <w:bookmarkEnd w:id="1"/>
      <w:r w:rsidRPr="00AA4A0B">
        <w:rPr>
          <w:lang w:val="nl-NL"/>
        </w:rPr>
        <w:t xml:space="preserve">or de extrapolatie werden gebruikt </w:t>
      </w:r>
      <w:r w:rsidR="00A73CAF" w:rsidRPr="00AA4A0B">
        <w:rPr>
          <w:lang w:val="nl-NL"/>
        </w:rPr>
        <w:t xml:space="preserve">het resultaat van </w:t>
      </w:r>
      <w:r w:rsidR="00EA5C2D">
        <w:rPr>
          <w:lang w:val="nl-NL"/>
        </w:rPr>
        <w:t>punctuele</w:t>
      </w:r>
      <w:r w:rsidR="00EA5C2D" w:rsidRPr="00AA4A0B">
        <w:rPr>
          <w:lang w:val="nl-NL"/>
        </w:rPr>
        <w:t xml:space="preserve"> </w:t>
      </w:r>
      <w:r w:rsidRPr="00AA4A0B">
        <w:rPr>
          <w:lang w:val="nl-NL"/>
        </w:rPr>
        <w:t xml:space="preserve">wegingen en vertegenwoordigen ze slechts een </w:t>
      </w:r>
      <w:r w:rsidR="0081342C">
        <w:rPr>
          <w:lang w:val="nl-NL"/>
        </w:rPr>
        <w:t>grootteo</w:t>
      </w:r>
      <w:r w:rsidRPr="00AA4A0B">
        <w:rPr>
          <w:lang w:val="nl-NL"/>
        </w:rPr>
        <w:t xml:space="preserve">rde. </w:t>
      </w:r>
      <w:r w:rsidR="00BA2340" w:rsidRPr="00AA4A0B">
        <w:rPr>
          <w:lang w:val="nl-NL"/>
        </w:rPr>
        <w:t>Op dezelfde manier is de representativiteit van de steekproef nie</w:t>
      </w:r>
      <w:r w:rsidR="00A73CAF" w:rsidRPr="00AA4A0B">
        <w:rPr>
          <w:lang w:val="nl-NL"/>
        </w:rPr>
        <w:t>t helemaal verzekerd om</w:t>
      </w:r>
      <w:r w:rsidR="00BA2340" w:rsidRPr="00AA4A0B">
        <w:rPr>
          <w:lang w:val="nl-NL"/>
        </w:rPr>
        <w:t xml:space="preserve">dat de oorspronkelijke typologie enkele onzekerheden bevat. </w:t>
      </w:r>
    </w:p>
    <w:p w:rsidR="00DA6109" w:rsidRPr="00AA4A0B" w:rsidRDefault="00DA6109" w:rsidP="00EC5CAC">
      <w:pPr>
        <w:rPr>
          <w:lang w:val="nl-NL"/>
        </w:rPr>
      </w:pPr>
    </w:p>
    <w:p w:rsidR="00BA2340" w:rsidRPr="00AA4A0B" w:rsidRDefault="00BA2340" w:rsidP="00210090">
      <w:pPr>
        <w:rPr>
          <w:lang w:val="nl-NL"/>
        </w:rPr>
      </w:pPr>
      <w:r w:rsidRPr="00AA4A0B">
        <w:rPr>
          <w:lang w:val="nl-NL"/>
        </w:rPr>
        <w:t>De verkregen resultaten blijken nochtan</w:t>
      </w:r>
      <w:r w:rsidR="00A73CAF" w:rsidRPr="00AA4A0B">
        <w:rPr>
          <w:lang w:val="nl-NL"/>
        </w:rPr>
        <w:t>s relatief dicht bij de</w:t>
      </w:r>
      <w:r w:rsidRPr="00AA4A0B">
        <w:rPr>
          <w:lang w:val="nl-NL"/>
        </w:rPr>
        <w:t xml:space="preserve"> cijfers</w:t>
      </w:r>
      <w:r w:rsidR="00A73CAF" w:rsidRPr="00AA4A0B">
        <w:rPr>
          <w:lang w:val="nl-NL"/>
        </w:rPr>
        <w:t xml:space="preserve"> die </w:t>
      </w:r>
      <w:r w:rsidRPr="00AA4A0B">
        <w:rPr>
          <w:lang w:val="nl-NL"/>
        </w:rPr>
        <w:t>in de literat</w:t>
      </w:r>
      <w:r w:rsidR="00A73CAF" w:rsidRPr="00AA4A0B">
        <w:rPr>
          <w:lang w:val="nl-NL"/>
        </w:rPr>
        <w:t xml:space="preserve">uur voorkomen te liggen wat het </w:t>
      </w:r>
      <w:r w:rsidR="00A73CAF" w:rsidRPr="00AA4A0B">
        <w:rPr>
          <w:b/>
          <w:lang w:val="nl-NL"/>
        </w:rPr>
        <w:t>globale volume</w:t>
      </w:r>
      <w:r w:rsidRPr="00AA4A0B">
        <w:rPr>
          <w:lang w:val="nl-NL"/>
        </w:rPr>
        <w:t xml:space="preserve"> betreft, zoals de volgende tabel toont. </w:t>
      </w:r>
    </w:p>
    <w:p w:rsidR="00210090" w:rsidRPr="00AA4A0B" w:rsidRDefault="00210090" w:rsidP="00210090">
      <w:pPr>
        <w:rPr>
          <w:lang w:val="nl-NL"/>
        </w:rPr>
      </w:pPr>
    </w:p>
    <w:p w:rsidR="00210090" w:rsidRPr="00AA4A0B" w:rsidRDefault="00210090" w:rsidP="00210090">
      <w:pPr>
        <w:rPr>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9"/>
        <w:gridCol w:w="2128"/>
        <w:gridCol w:w="4783"/>
      </w:tblGrid>
      <w:tr w:rsidR="00210090" w:rsidRPr="00AA4A0B" w:rsidTr="00210090">
        <w:trPr>
          <w:trHeight w:val="672"/>
          <w:jc w:val="center"/>
        </w:trPr>
        <w:tc>
          <w:tcPr>
            <w:tcW w:w="1684" w:type="pct"/>
            <w:shd w:val="clear" w:color="auto" w:fill="4F81BD"/>
            <w:vAlign w:val="center"/>
          </w:tcPr>
          <w:p w:rsidR="00210090" w:rsidRPr="00AA4A0B" w:rsidRDefault="00BA2340" w:rsidP="008D0D5B">
            <w:pPr>
              <w:keepNext/>
              <w:ind w:left="0"/>
              <w:jc w:val="center"/>
              <w:rPr>
                <w:rFonts w:ascii="Calibri" w:hAnsi="Calibri" w:cs="Calibri"/>
                <w:color w:val="FFFFFF"/>
                <w:sz w:val="22"/>
                <w:szCs w:val="22"/>
                <w:lang w:val="nl-NL" w:eastAsia="fr-BE"/>
              </w:rPr>
            </w:pPr>
            <w:r w:rsidRPr="00AA4A0B">
              <w:rPr>
                <w:rFonts w:ascii="Calibri" w:hAnsi="Calibri" w:cs="Calibri"/>
                <w:color w:val="FFFFFF"/>
                <w:sz w:val="22"/>
                <w:szCs w:val="22"/>
                <w:lang w:val="nl-NL" w:eastAsia="fr-BE"/>
              </w:rPr>
              <w:lastRenderedPageBreak/>
              <w:t>Landen/Regio’s</w:t>
            </w:r>
          </w:p>
        </w:tc>
        <w:tc>
          <w:tcPr>
            <w:tcW w:w="1021" w:type="pct"/>
            <w:shd w:val="clear" w:color="auto" w:fill="4F81BD"/>
            <w:vAlign w:val="center"/>
          </w:tcPr>
          <w:p w:rsidR="00210090" w:rsidRPr="00AA4A0B" w:rsidRDefault="00BA2340" w:rsidP="00210090">
            <w:pPr>
              <w:keepNext/>
              <w:tabs>
                <w:tab w:val="left" w:pos="1736"/>
              </w:tabs>
              <w:ind w:left="57" w:right="176"/>
              <w:jc w:val="center"/>
              <w:rPr>
                <w:rFonts w:ascii="Calibri" w:hAnsi="Calibri" w:cs="Calibri"/>
                <w:color w:val="FFFFFF"/>
                <w:sz w:val="22"/>
                <w:szCs w:val="22"/>
                <w:lang w:val="nl-NL" w:eastAsia="fr-BE"/>
              </w:rPr>
            </w:pPr>
            <w:r w:rsidRPr="00AA4A0B">
              <w:rPr>
                <w:rFonts w:ascii="Calibri" w:hAnsi="Calibri" w:cs="Calibri"/>
                <w:color w:val="FFFFFF"/>
                <w:kern w:val="24"/>
                <w:sz w:val="22"/>
                <w:szCs w:val="22"/>
                <w:lang w:val="nl-NL" w:eastAsia="fr-BE"/>
              </w:rPr>
              <w:t>Totale hoeveelheid afval  (ton/</w:t>
            </w:r>
            <w:proofErr w:type="spellStart"/>
            <w:r w:rsidRPr="00AA4A0B">
              <w:rPr>
                <w:rFonts w:ascii="Calibri" w:hAnsi="Calibri" w:cs="Calibri"/>
                <w:color w:val="FFFFFF"/>
                <w:kern w:val="24"/>
                <w:sz w:val="22"/>
                <w:szCs w:val="22"/>
                <w:lang w:val="nl-NL" w:eastAsia="fr-BE"/>
              </w:rPr>
              <w:t>etab.jaar</w:t>
            </w:r>
            <w:proofErr w:type="spellEnd"/>
            <w:r w:rsidR="00210090" w:rsidRPr="00AA4A0B">
              <w:rPr>
                <w:rFonts w:ascii="Calibri" w:hAnsi="Calibri" w:cs="Calibri"/>
                <w:color w:val="FFFFFF"/>
                <w:kern w:val="24"/>
                <w:sz w:val="22"/>
                <w:szCs w:val="22"/>
                <w:lang w:val="nl-NL" w:eastAsia="fr-BE"/>
              </w:rPr>
              <w:t>)</w:t>
            </w:r>
          </w:p>
        </w:tc>
        <w:tc>
          <w:tcPr>
            <w:tcW w:w="2295" w:type="pct"/>
            <w:shd w:val="clear" w:color="auto" w:fill="4F81BD"/>
            <w:vAlign w:val="center"/>
          </w:tcPr>
          <w:p w:rsidR="00210090" w:rsidRPr="00AA4A0B" w:rsidRDefault="00EA5C2D" w:rsidP="00210090">
            <w:pPr>
              <w:keepNext/>
              <w:ind w:left="56"/>
              <w:jc w:val="center"/>
              <w:rPr>
                <w:rFonts w:ascii="Calibri" w:hAnsi="Calibri" w:cs="Calibri"/>
                <w:color w:val="FFFFFF"/>
                <w:sz w:val="22"/>
                <w:szCs w:val="22"/>
                <w:lang w:val="nl-NL" w:eastAsia="fr-BE"/>
              </w:rPr>
            </w:pPr>
            <w:r>
              <w:rPr>
                <w:rFonts w:ascii="Calibri" w:hAnsi="Calibri" w:cs="Calibri"/>
                <w:color w:val="FFFFFF"/>
                <w:kern w:val="24"/>
                <w:sz w:val="22"/>
                <w:szCs w:val="22"/>
                <w:lang w:val="nl-NL" w:eastAsia="fr-BE"/>
              </w:rPr>
              <w:t>Toepassingsgebied</w:t>
            </w:r>
          </w:p>
        </w:tc>
      </w:tr>
      <w:tr w:rsidR="00210090" w:rsidRPr="00681301" w:rsidTr="00210090">
        <w:trPr>
          <w:trHeight w:val="462"/>
          <w:jc w:val="center"/>
        </w:trPr>
        <w:tc>
          <w:tcPr>
            <w:tcW w:w="1684" w:type="pct"/>
            <w:vAlign w:val="center"/>
          </w:tcPr>
          <w:p w:rsidR="00210090" w:rsidRPr="00AA4A0B" w:rsidRDefault="00210090" w:rsidP="00210090">
            <w:pPr>
              <w:keepNext/>
              <w:ind w:left="0"/>
              <w:jc w:val="left"/>
              <w:rPr>
                <w:rFonts w:ascii="Calibri" w:hAnsi="Calibri" w:cs="Calibri"/>
                <w:sz w:val="22"/>
                <w:szCs w:val="22"/>
                <w:lang w:val="nl-NL" w:eastAsia="fr-BE"/>
              </w:rPr>
            </w:pPr>
            <w:r w:rsidRPr="00AA4A0B">
              <w:rPr>
                <w:rFonts w:ascii="Calibri" w:hAnsi="Calibri" w:cs="Calibri"/>
                <w:sz w:val="22"/>
                <w:szCs w:val="22"/>
                <w:lang w:val="nl-NL" w:eastAsia="fr-BE"/>
              </w:rPr>
              <w:t>No</w:t>
            </w:r>
            <w:r w:rsidR="00BA2340" w:rsidRPr="00AA4A0B">
              <w:rPr>
                <w:rFonts w:ascii="Calibri" w:hAnsi="Calibri" w:cs="Calibri"/>
                <w:sz w:val="22"/>
                <w:szCs w:val="22"/>
                <w:lang w:val="nl-NL" w:eastAsia="fr-BE"/>
              </w:rPr>
              <w:t>o</w:t>
            </w:r>
            <w:r w:rsidRPr="00AA4A0B">
              <w:rPr>
                <w:rFonts w:ascii="Calibri" w:hAnsi="Calibri" w:cs="Calibri"/>
                <w:sz w:val="22"/>
                <w:szCs w:val="22"/>
                <w:lang w:val="nl-NL" w:eastAsia="fr-BE"/>
              </w:rPr>
              <w:t>rd</w:t>
            </w:r>
            <w:r w:rsidR="00BA2340" w:rsidRPr="00AA4A0B">
              <w:rPr>
                <w:rFonts w:ascii="Calibri" w:hAnsi="Calibri" w:cs="Calibri"/>
                <w:sz w:val="22"/>
                <w:szCs w:val="22"/>
                <w:lang w:val="nl-NL" w:eastAsia="fr-BE"/>
              </w:rPr>
              <w:t>-Ierland</w:t>
            </w:r>
            <w:r w:rsidRPr="00AA4A0B">
              <w:rPr>
                <w:rFonts w:ascii="Calibri" w:hAnsi="Calibri" w:cs="Calibri"/>
                <w:sz w:val="22"/>
                <w:szCs w:val="22"/>
                <w:lang w:val="nl-NL" w:eastAsia="fr-BE"/>
              </w:rPr>
              <w:t xml:space="preserve"> (2002)</w:t>
            </w:r>
          </w:p>
        </w:tc>
        <w:tc>
          <w:tcPr>
            <w:tcW w:w="1021" w:type="pct"/>
            <w:vAlign w:val="center"/>
          </w:tcPr>
          <w:p w:rsidR="00210090" w:rsidRPr="00AA4A0B" w:rsidRDefault="00210090" w:rsidP="00210090">
            <w:pPr>
              <w:keepNext/>
              <w:tabs>
                <w:tab w:val="left" w:pos="1736"/>
              </w:tabs>
              <w:ind w:left="57" w:right="176"/>
              <w:jc w:val="center"/>
              <w:rPr>
                <w:rFonts w:ascii="Calibri" w:eastAsia="Times New Roman" w:hAnsi="Calibri" w:cs="Calibri"/>
                <w:sz w:val="22"/>
                <w:szCs w:val="22"/>
                <w:lang w:val="nl-NL" w:eastAsia="fr-BE"/>
              </w:rPr>
            </w:pPr>
            <w:r w:rsidRPr="00AA4A0B">
              <w:rPr>
                <w:rFonts w:ascii="Calibri" w:hAnsi="Calibri" w:cs="Calibri"/>
                <w:kern w:val="24"/>
                <w:sz w:val="22"/>
                <w:szCs w:val="22"/>
                <w:lang w:val="nl-NL" w:eastAsia="fr-BE"/>
              </w:rPr>
              <w:t>9.2 – 13.2</w:t>
            </w:r>
          </w:p>
        </w:tc>
        <w:tc>
          <w:tcPr>
            <w:tcW w:w="2295" w:type="pct"/>
            <w:vAlign w:val="center"/>
          </w:tcPr>
          <w:p w:rsidR="00210090" w:rsidRPr="00AA4A0B" w:rsidRDefault="00BA2340" w:rsidP="00210090">
            <w:pPr>
              <w:keepNext/>
              <w:ind w:left="56"/>
              <w:jc w:val="left"/>
              <w:rPr>
                <w:rFonts w:ascii="Calibri" w:eastAsia="Times New Roman" w:hAnsi="Calibri" w:cs="Calibri"/>
                <w:sz w:val="22"/>
                <w:szCs w:val="22"/>
                <w:lang w:val="nl-NL" w:eastAsia="fr-BE"/>
              </w:rPr>
            </w:pPr>
            <w:r w:rsidRPr="00AA4A0B">
              <w:rPr>
                <w:rFonts w:ascii="Calibri" w:hAnsi="Calibri" w:cs="Calibri"/>
                <w:sz w:val="22"/>
                <w:szCs w:val="22"/>
                <w:lang w:val="nl-NL" w:eastAsia="fr-BE"/>
              </w:rPr>
              <w:t>Totaal afval  (hotels en</w:t>
            </w:r>
            <w:r w:rsidR="00210090" w:rsidRPr="00AA4A0B">
              <w:rPr>
                <w:rFonts w:ascii="Calibri" w:hAnsi="Calibri" w:cs="Calibri"/>
                <w:sz w:val="22"/>
                <w:szCs w:val="22"/>
                <w:lang w:val="nl-NL" w:eastAsia="fr-BE"/>
              </w:rPr>
              <w:t xml:space="preserve"> restaurants)</w:t>
            </w:r>
          </w:p>
        </w:tc>
      </w:tr>
      <w:tr w:rsidR="00210090" w:rsidRPr="00AA4A0B" w:rsidTr="00210090">
        <w:trPr>
          <w:trHeight w:val="462"/>
          <w:jc w:val="center"/>
        </w:trPr>
        <w:tc>
          <w:tcPr>
            <w:tcW w:w="1684" w:type="pct"/>
            <w:vAlign w:val="center"/>
          </w:tcPr>
          <w:p w:rsidR="00210090" w:rsidRPr="00AA4A0B" w:rsidRDefault="00BA2340" w:rsidP="00210090">
            <w:pPr>
              <w:keepNext/>
              <w:ind w:left="0"/>
              <w:jc w:val="left"/>
              <w:rPr>
                <w:rFonts w:ascii="Calibri" w:eastAsia="Times New Roman" w:hAnsi="Calibri" w:cs="Calibri"/>
                <w:sz w:val="22"/>
                <w:szCs w:val="22"/>
                <w:lang w:val="nl-NL" w:eastAsia="fr-BE"/>
              </w:rPr>
            </w:pPr>
            <w:r w:rsidRPr="00AA4A0B">
              <w:rPr>
                <w:rFonts w:ascii="Calibri" w:hAnsi="Calibri" w:cs="Calibri"/>
                <w:kern w:val="24"/>
                <w:sz w:val="22"/>
                <w:szCs w:val="22"/>
                <w:lang w:val="nl-NL" w:eastAsia="fr-BE"/>
              </w:rPr>
              <w:t>Wallonië</w:t>
            </w:r>
            <w:r w:rsidR="00210090" w:rsidRPr="00AA4A0B">
              <w:rPr>
                <w:rFonts w:ascii="Calibri" w:hAnsi="Calibri" w:cs="Calibri"/>
                <w:kern w:val="24"/>
                <w:sz w:val="22"/>
                <w:szCs w:val="22"/>
                <w:lang w:val="nl-NL" w:eastAsia="fr-BE"/>
              </w:rPr>
              <w:t xml:space="preserve"> (2009-2010)</w:t>
            </w:r>
          </w:p>
        </w:tc>
        <w:tc>
          <w:tcPr>
            <w:tcW w:w="1021" w:type="pct"/>
            <w:vAlign w:val="center"/>
          </w:tcPr>
          <w:p w:rsidR="00210090" w:rsidRPr="00AA4A0B" w:rsidRDefault="00210090" w:rsidP="00210090">
            <w:pPr>
              <w:keepNext/>
              <w:tabs>
                <w:tab w:val="left" w:pos="1736"/>
              </w:tabs>
              <w:ind w:left="57" w:right="176"/>
              <w:jc w:val="center"/>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12.2</w:t>
            </w:r>
          </w:p>
        </w:tc>
        <w:tc>
          <w:tcPr>
            <w:tcW w:w="2295" w:type="pct"/>
            <w:vAlign w:val="center"/>
          </w:tcPr>
          <w:p w:rsidR="00210090" w:rsidRPr="00AA4A0B" w:rsidRDefault="00BA2340" w:rsidP="00210090">
            <w:pPr>
              <w:keepNext/>
              <w:ind w:left="56"/>
              <w:jc w:val="left"/>
              <w:rPr>
                <w:rFonts w:ascii="Calibri" w:eastAsia="Times New Roman" w:hAnsi="Calibri" w:cs="Calibri"/>
                <w:sz w:val="22"/>
                <w:szCs w:val="22"/>
                <w:lang w:val="nl-NL" w:eastAsia="fr-BE"/>
              </w:rPr>
            </w:pPr>
            <w:r w:rsidRPr="00AA4A0B">
              <w:rPr>
                <w:rFonts w:ascii="Calibri" w:hAnsi="Calibri" w:cs="Calibri"/>
                <w:sz w:val="22"/>
                <w:szCs w:val="22"/>
                <w:lang w:val="nl-NL" w:eastAsia="fr-BE"/>
              </w:rPr>
              <w:t>Totaal afval</w:t>
            </w:r>
            <w:r w:rsidR="00210090" w:rsidRPr="00AA4A0B">
              <w:rPr>
                <w:rFonts w:ascii="Calibri" w:hAnsi="Calibri" w:cs="Calibri"/>
                <w:kern w:val="24"/>
                <w:sz w:val="22"/>
                <w:szCs w:val="22"/>
                <w:lang w:val="nl-NL" w:eastAsia="fr-BE"/>
              </w:rPr>
              <w:t xml:space="preserve"> (restaurant)</w:t>
            </w:r>
          </w:p>
        </w:tc>
      </w:tr>
      <w:tr w:rsidR="00210090" w:rsidRPr="00AA4A0B" w:rsidTr="00210090">
        <w:trPr>
          <w:trHeight w:val="462"/>
          <w:jc w:val="center"/>
        </w:trPr>
        <w:tc>
          <w:tcPr>
            <w:tcW w:w="1684" w:type="pct"/>
            <w:vAlign w:val="center"/>
          </w:tcPr>
          <w:p w:rsidR="00210090" w:rsidRPr="00AA4A0B" w:rsidRDefault="00BA2340" w:rsidP="00210090">
            <w:pPr>
              <w:keepNext/>
              <w:ind w:left="0"/>
              <w:jc w:val="left"/>
              <w:rPr>
                <w:rFonts w:ascii="Calibri" w:eastAsia="Times New Roman" w:hAnsi="Calibri" w:cs="Calibri"/>
                <w:sz w:val="22"/>
                <w:szCs w:val="22"/>
                <w:lang w:val="nl-NL" w:eastAsia="fr-BE"/>
              </w:rPr>
            </w:pPr>
            <w:r w:rsidRPr="00AA4A0B">
              <w:rPr>
                <w:rFonts w:ascii="Calibri" w:hAnsi="Calibri" w:cs="Calibri"/>
                <w:kern w:val="24"/>
                <w:sz w:val="22"/>
                <w:szCs w:val="22"/>
                <w:lang w:val="nl-NL" w:eastAsia="fr-BE"/>
              </w:rPr>
              <w:t>Vlaanderen</w:t>
            </w:r>
            <w:r w:rsidR="00210090" w:rsidRPr="00AA4A0B">
              <w:rPr>
                <w:rFonts w:ascii="Calibri" w:hAnsi="Calibri" w:cs="Calibri"/>
                <w:kern w:val="24"/>
                <w:sz w:val="22"/>
                <w:szCs w:val="22"/>
                <w:lang w:val="nl-NL" w:eastAsia="fr-BE"/>
              </w:rPr>
              <w:t xml:space="preserve"> (2008)</w:t>
            </w:r>
          </w:p>
        </w:tc>
        <w:tc>
          <w:tcPr>
            <w:tcW w:w="1021" w:type="pct"/>
            <w:vAlign w:val="center"/>
          </w:tcPr>
          <w:p w:rsidR="00210090" w:rsidRPr="00AA4A0B" w:rsidRDefault="00210090" w:rsidP="00210090">
            <w:pPr>
              <w:keepNext/>
              <w:tabs>
                <w:tab w:val="left" w:pos="1736"/>
              </w:tabs>
              <w:ind w:left="57" w:right="176"/>
              <w:jc w:val="center"/>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15.8</w:t>
            </w:r>
          </w:p>
        </w:tc>
        <w:tc>
          <w:tcPr>
            <w:tcW w:w="2295" w:type="pct"/>
            <w:vAlign w:val="center"/>
          </w:tcPr>
          <w:p w:rsidR="00210090" w:rsidRPr="00AA4A0B" w:rsidRDefault="00BA2340" w:rsidP="001C3EDB">
            <w:pPr>
              <w:keepNext/>
              <w:ind w:left="56"/>
              <w:jc w:val="left"/>
              <w:rPr>
                <w:rFonts w:ascii="Calibri" w:eastAsia="Times New Roman" w:hAnsi="Calibri" w:cs="Calibri"/>
                <w:sz w:val="22"/>
                <w:szCs w:val="22"/>
                <w:lang w:val="nl-NL" w:eastAsia="fr-BE"/>
              </w:rPr>
            </w:pPr>
            <w:r w:rsidRPr="00AA4A0B">
              <w:rPr>
                <w:rFonts w:ascii="Calibri" w:hAnsi="Calibri" w:cs="Calibri"/>
                <w:sz w:val="22"/>
                <w:szCs w:val="22"/>
                <w:lang w:val="nl-NL" w:eastAsia="fr-BE"/>
              </w:rPr>
              <w:t xml:space="preserve">Totaal afval </w:t>
            </w:r>
            <w:r w:rsidR="00210090" w:rsidRPr="00AA4A0B">
              <w:rPr>
                <w:rFonts w:ascii="Calibri" w:hAnsi="Calibri" w:cs="Calibri"/>
                <w:kern w:val="24"/>
                <w:sz w:val="22"/>
                <w:szCs w:val="22"/>
                <w:lang w:val="nl-NL" w:eastAsia="fr-BE"/>
              </w:rPr>
              <w:t xml:space="preserve"> (</w:t>
            </w:r>
            <w:r w:rsidR="00A73CAF" w:rsidRPr="00AA4A0B">
              <w:rPr>
                <w:rFonts w:ascii="Calibri" w:hAnsi="Calibri" w:cs="Calibri"/>
                <w:kern w:val="24"/>
                <w:sz w:val="22"/>
                <w:szCs w:val="22"/>
                <w:lang w:val="nl-NL" w:eastAsia="fr-BE"/>
              </w:rPr>
              <w:t>h</w:t>
            </w:r>
            <w:r w:rsidR="001C3EDB" w:rsidRPr="00AA4A0B">
              <w:rPr>
                <w:rFonts w:ascii="Calibri" w:hAnsi="Calibri" w:cs="Calibri"/>
                <w:kern w:val="24"/>
                <w:sz w:val="22"/>
                <w:szCs w:val="22"/>
                <w:lang w:val="nl-NL" w:eastAsia="fr-BE"/>
              </w:rPr>
              <w:t>oreca</w:t>
            </w:r>
            <w:r w:rsidR="00210090" w:rsidRPr="00AA4A0B">
              <w:rPr>
                <w:rFonts w:ascii="Calibri" w:hAnsi="Calibri" w:cs="Calibri"/>
                <w:kern w:val="24"/>
                <w:sz w:val="22"/>
                <w:szCs w:val="22"/>
                <w:lang w:val="nl-NL" w:eastAsia="fr-BE"/>
              </w:rPr>
              <w:t>)</w:t>
            </w:r>
          </w:p>
        </w:tc>
      </w:tr>
      <w:tr w:rsidR="00210090" w:rsidRPr="00AA4A0B" w:rsidTr="00210090">
        <w:trPr>
          <w:trHeight w:val="462"/>
          <w:jc w:val="center"/>
        </w:trPr>
        <w:tc>
          <w:tcPr>
            <w:tcW w:w="1684" w:type="pct"/>
            <w:tcBorders>
              <w:bottom w:val="double" w:sz="4" w:space="0" w:color="auto"/>
            </w:tcBorders>
            <w:shd w:val="clear" w:color="auto" w:fill="D9D9D9"/>
            <w:vAlign w:val="center"/>
          </w:tcPr>
          <w:p w:rsidR="00210090" w:rsidRPr="00AA4A0B" w:rsidRDefault="00210090" w:rsidP="00AC423F">
            <w:pPr>
              <w:keepNext/>
              <w:ind w:left="0"/>
              <w:jc w:val="left"/>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R</w:t>
            </w:r>
            <w:r w:rsidR="00BA2340" w:rsidRPr="00AA4A0B">
              <w:rPr>
                <w:rFonts w:ascii="Calibri" w:hAnsi="Calibri" w:cs="Calibri"/>
                <w:kern w:val="24"/>
                <w:sz w:val="22"/>
                <w:szCs w:val="22"/>
                <w:lang w:val="nl-NL" w:eastAsia="fr-BE"/>
              </w:rPr>
              <w:t xml:space="preserve">esultaten van de campagne op het terrein (Brussel </w:t>
            </w:r>
            <w:r w:rsidR="00AC423F" w:rsidRPr="00AA4A0B">
              <w:rPr>
                <w:rFonts w:ascii="Calibri" w:hAnsi="Calibri" w:cs="Calibri"/>
                <w:kern w:val="24"/>
                <w:sz w:val="22"/>
                <w:szCs w:val="22"/>
                <w:lang w:val="nl-NL" w:eastAsia="fr-BE"/>
              </w:rPr>
              <w:t>2</w:t>
            </w:r>
            <w:r w:rsidRPr="00AA4A0B">
              <w:rPr>
                <w:rFonts w:ascii="Calibri" w:hAnsi="Calibri" w:cs="Calibri"/>
                <w:kern w:val="24"/>
                <w:sz w:val="22"/>
                <w:szCs w:val="22"/>
                <w:lang w:val="nl-NL" w:eastAsia="fr-BE"/>
              </w:rPr>
              <w:t>012)</w:t>
            </w:r>
          </w:p>
        </w:tc>
        <w:tc>
          <w:tcPr>
            <w:tcW w:w="1021" w:type="pct"/>
            <w:tcBorders>
              <w:bottom w:val="double" w:sz="4" w:space="0" w:color="auto"/>
            </w:tcBorders>
            <w:shd w:val="clear" w:color="auto" w:fill="D9D9D9"/>
            <w:vAlign w:val="center"/>
          </w:tcPr>
          <w:p w:rsidR="00210090" w:rsidRPr="00AA4A0B" w:rsidRDefault="002D3794" w:rsidP="00210090">
            <w:pPr>
              <w:keepNext/>
              <w:tabs>
                <w:tab w:val="left" w:pos="1736"/>
              </w:tabs>
              <w:ind w:left="57" w:right="176"/>
              <w:jc w:val="center"/>
              <w:rPr>
                <w:rFonts w:ascii="Calibri" w:eastAsia="Times New Roman" w:hAnsi="Calibri" w:cs="Calibri"/>
                <w:kern w:val="24"/>
                <w:sz w:val="22"/>
                <w:szCs w:val="22"/>
                <w:lang w:val="nl-NL" w:eastAsia="fr-BE"/>
              </w:rPr>
            </w:pPr>
            <w:r w:rsidRPr="00AA4A0B">
              <w:rPr>
                <w:rFonts w:ascii="Calibri" w:hAnsi="Calibri" w:cs="Calibri"/>
                <w:b/>
                <w:bCs/>
                <w:kern w:val="24"/>
                <w:sz w:val="22"/>
                <w:szCs w:val="22"/>
                <w:lang w:val="nl-NL" w:eastAsia="fr-BE"/>
              </w:rPr>
              <w:t>9</w:t>
            </w:r>
          </w:p>
        </w:tc>
        <w:tc>
          <w:tcPr>
            <w:tcW w:w="2295" w:type="pct"/>
            <w:tcBorders>
              <w:bottom w:val="double" w:sz="4" w:space="0" w:color="auto"/>
            </w:tcBorders>
            <w:shd w:val="clear" w:color="auto" w:fill="D9D9D9"/>
            <w:vAlign w:val="center"/>
          </w:tcPr>
          <w:p w:rsidR="00210090" w:rsidRPr="00AA4A0B" w:rsidRDefault="00BA2340" w:rsidP="00210090">
            <w:pPr>
              <w:keepNext/>
              <w:ind w:left="56"/>
              <w:jc w:val="left"/>
              <w:rPr>
                <w:rFonts w:ascii="Calibri" w:eastAsia="Times New Roman" w:hAnsi="Calibri" w:cs="Calibri"/>
                <w:kern w:val="24"/>
                <w:sz w:val="22"/>
                <w:szCs w:val="22"/>
                <w:lang w:val="nl-NL" w:eastAsia="fr-BE"/>
              </w:rPr>
            </w:pPr>
            <w:r w:rsidRPr="00AA4A0B">
              <w:rPr>
                <w:rFonts w:ascii="Calibri" w:hAnsi="Calibri" w:cs="Calibri"/>
                <w:sz w:val="22"/>
                <w:szCs w:val="22"/>
                <w:lang w:val="nl-NL" w:eastAsia="fr-BE"/>
              </w:rPr>
              <w:t>Totaal afval</w:t>
            </w:r>
            <w:r w:rsidR="00210090" w:rsidRPr="00AA4A0B">
              <w:rPr>
                <w:rFonts w:ascii="Calibri" w:hAnsi="Calibri" w:cs="Calibri"/>
                <w:kern w:val="24"/>
                <w:sz w:val="22"/>
                <w:szCs w:val="22"/>
                <w:lang w:val="nl-NL" w:eastAsia="fr-BE"/>
              </w:rPr>
              <w:t xml:space="preserve">  (restaurant)</w:t>
            </w:r>
          </w:p>
        </w:tc>
      </w:tr>
      <w:tr w:rsidR="00210090" w:rsidRPr="00681301" w:rsidTr="00210090">
        <w:trPr>
          <w:trHeight w:val="462"/>
          <w:jc w:val="center"/>
        </w:trPr>
        <w:tc>
          <w:tcPr>
            <w:tcW w:w="1684" w:type="pct"/>
            <w:tcBorders>
              <w:top w:val="double" w:sz="4" w:space="0" w:color="auto"/>
              <w:bottom w:val="single" w:sz="4" w:space="0" w:color="auto"/>
            </w:tcBorders>
            <w:shd w:val="clear" w:color="auto" w:fill="FFFFFF"/>
            <w:vAlign w:val="center"/>
          </w:tcPr>
          <w:p w:rsidR="00210090" w:rsidRPr="00AA4A0B" w:rsidRDefault="00BA2340" w:rsidP="00210090">
            <w:pPr>
              <w:keepNext/>
              <w:ind w:left="0"/>
              <w:jc w:val="left"/>
              <w:rPr>
                <w:rFonts w:ascii="Calibri" w:eastAsia="Times New Roman" w:hAnsi="Calibri" w:cs="Calibri"/>
                <w:sz w:val="22"/>
                <w:szCs w:val="22"/>
                <w:lang w:val="nl-NL" w:eastAsia="fr-BE"/>
              </w:rPr>
            </w:pPr>
            <w:r w:rsidRPr="00AA4A0B">
              <w:rPr>
                <w:rFonts w:ascii="Calibri" w:hAnsi="Calibri" w:cs="Calibri"/>
                <w:sz w:val="22"/>
                <w:szCs w:val="22"/>
                <w:lang w:val="nl-NL" w:eastAsia="fr-BE"/>
              </w:rPr>
              <w:t>Frankrijk</w:t>
            </w:r>
            <w:r w:rsidR="00210090" w:rsidRPr="00AA4A0B">
              <w:rPr>
                <w:rFonts w:ascii="Calibri" w:hAnsi="Calibri" w:cs="Calibri"/>
                <w:sz w:val="22"/>
                <w:szCs w:val="22"/>
                <w:lang w:val="nl-NL" w:eastAsia="fr-BE"/>
              </w:rPr>
              <w:t xml:space="preserve"> (2000)</w:t>
            </w:r>
          </w:p>
        </w:tc>
        <w:tc>
          <w:tcPr>
            <w:tcW w:w="1021" w:type="pct"/>
            <w:tcBorders>
              <w:top w:val="double" w:sz="4" w:space="0" w:color="auto"/>
              <w:bottom w:val="single" w:sz="4" w:space="0" w:color="auto"/>
            </w:tcBorders>
            <w:shd w:val="clear" w:color="auto" w:fill="FFFFFF"/>
            <w:vAlign w:val="center"/>
          </w:tcPr>
          <w:p w:rsidR="00210090" w:rsidRPr="00AA4A0B" w:rsidRDefault="00210090" w:rsidP="00210090">
            <w:pPr>
              <w:keepNext/>
              <w:tabs>
                <w:tab w:val="left" w:pos="1736"/>
              </w:tabs>
              <w:ind w:left="57" w:right="176"/>
              <w:jc w:val="center"/>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13.2</w:t>
            </w:r>
          </w:p>
        </w:tc>
        <w:tc>
          <w:tcPr>
            <w:tcW w:w="2295" w:type="pct"/>
            <w:tcBorders>
              <w:top w:val="double" w:sz="4" w:space="0" w:color="auto"/>
              <w:bottom w:val="single" w:sz="4" w:space="0" w:color="auto"/>
            </w:tcBorders>
            <w:vAlign w:val="center"/>
          </w:tcPr>
          <w:p w:rsidR="00210090" w:rsidRPr="00AA4A0B" w:rsidRDefault="00BA2340" w:rsidP="00AB0F8D">
            <w:pPr>
              <w:keepNext/>
              <w:ind w:left="56"/>
              <w:jc w:val="left"/>
              <w:rPr>
                <w:rFonts w:ascii="Calibri" w:eastAsia="Times New Roman" w:hAnsi="Calibri" w:cs="Calibri"/>
                <w:sz w:val="22"/>
                <w:szCs w:val="22"/>
                <w:lang w:val="nl-NL" w:eastAsia="fr-BE"/>
              </w:rPr>
            </w:pPr>
            <w:r w:rsidRPr="00AA4A0B">
              <w:rPr>
                <w:rFonts w:ascii="Calibri" w:hAnsi="Calibri" w:cs="Calibri"/>
                <w:sz w:val="22"/>
                <w:szCs w:val="22"/>
                <w:lang w:val="nl-NL" w:eastAsia="fr-BE"/>
              </w:rPr>
              <w:t>Totaal afval,</w:t>
            </w:r>
            <w:r w:rsidR="00210090" w:rsidRPr="00AA4A0B">
              <w:rPr>
                <w:rFonts w:ascii="Calibri" w:hAnsi="Calibri" w:cs="Calibri"/>
                <w:kern w:val="24"/>
                <w:sz w:val="22"/>
                <w:szCs w:val="22"/>
                <w:lang w:val="nl-NL" w:eastAsia="fr-BE"/>
              </w:rPr>
              <w:t xml:space="preserve"> </w:t>
            </w:r>
            <w:r w:rsidR="00AB0F8D">
              <w:rPr>
                <w:rFonts w:ascii="Calibri" w:hAnsi="Calibri" w:cs="Calibri"/>
                <w:kern w:val="24"/>
                <w:sz w:val="22"/>
                <w:szCs w:val="22"/>
                <w:lang w:val="nl-NL" w:eastAsia="fr-BE"/>
              </w:rPr>
              <w:t xml:space="preserve">uitgezonderd </w:t>
            </w:r>
            <w:r w:rsidR="006E5DAF" w:rsidRPr="00AA4A0B">
              <w:rPr>
                <w:rFonts w:ascii="Calibri" w:hAnsi="Calibri" w:cs="Calibri"/>
                <w:kern w:val="24"/>
                <w:sz w:val="22"/>
                <w:szCs w:val="22"/>
                <w:lang w:val="nl-NL" w:eastAsia="fr-BE"/>
              </w:rPr>
              <w:t>olie voor de</w:t>
            </w:r>
            <w:r w:rsidR="00A73CAF" w:rsidRPr="00AA4A0B">
              <w:rPr>
                <w:rFonts w:ascii="Calibri" w:hAnsi="Calibri" w:cs="Calibri"/>
                <w:kern w:val="24"/>
                <w:sz w:val="22"/>
                <w:szCs w:val="22"/>
                <w:lang w:val="nl-NL" w:eastAsia="fr-BE"/>
              </w:rPr>
              <w:t xml:space="preserve"> voeding (restaurant)</w:t>
            </w:r>
          </w:p>
        </w:tc>
      </w:tr>
      <w:tr w:rsidR="00210090" w:rsidRPr="00681301" w:rsidTr="00210090">
        <w:trPr>
          <w:trHeight w:val="445"/>
          <w:jc w:val="center"/>
        </w:trPr>
        <w:tc>
          <w:tcPr>
            <w:tcW w:w="1684" w:type="pct"/>
            <w:tcBorders>
              <w:top w:val="single" w:sz="4" w:space="0" w:color="auto"/>
              <w:bottom w:val="double" w:sz="4" w:space="0" w:color="auto"/>
            </w:tcBorders>
            <w:shd w:val="clear" w:color="auto" w:fill="D9D9D9"/>
            <w:vAlign w:val="center"/>
          </w:tcPr>
          <w:p w:rsidR="00210090" w:rsidRPr="00AA4A0B" w:rsidRDefault="00BA2340" w:rsidP="00AC423F">
            <w:pPr>
              <w:keepNext/>
              <w:ind w:left="0"/>
              <w:jc w:val="left"/>
              <w:rPr>
                <w:rFonts w:ascii="Calibri" w:eastAsia="Times New Roman" w:hAnsi="Calibri" w:cs="Calibri"/>
                <w:sz w:val="22"/>
                <w:szCs w:val="22"/>
                <w:lang w:val="nl-NL" w:eastAsia="fr-BE"/>
              </w:rPr>
            </w:pPr>
            <w:r w:rsidRPr="00AA4A0B">
              <w:rPr>
                <w:rFonts w:ascii="Calibri" w:hAnsi="Calibri" w:cs="Calibri"/>
                <w:kern w:val="24"/>
                <w:sz w:val="22"/>
                <w:szCs w:val="22"/>
                <w:lang w:val="nl-NL" w:eastAsia="fr-BE"/>
              </w:rPr>
              <w:t>Resultaten van de campagne op het terrein</w:t>
            </w:r>
            <w:r w:rsidR="00A73CAF" w:rsidRPr="00AA4A0B">
              <w:rPr>
                <w:rFonts w:ascii="Calibri" w:hAnsi="Calibri" w:cs="Calibri"/>
                <w:kern w:val="24"/>
                <w:sz w:val="22"/>
                <w:szCs w:val="22"/>
                <w:lang w:val="nl-NL" w:eastAsia="fr-BE"/>
              </w:rPr>
              <w:t xml:space="preserve"> </w:t>
            </w:r>
            <w:r w:rsidRPr="00AA4A0B">
              <w:rPr>
                <w:rFonts w:ascii="Calibri" w:hAnsi="Calibri" w:cs="Calibri"/>
                <w:kern w:val="24"/>
                <w:sz w:val="22"/>
                <w:szCs w:val="22"/>
                <w:lang w:val="nl-NL" w:eastAsia="fr-BE"/>
              </w:rPr>
              <w:t>(Brussel</w:t>
            </w:r>
            <w:r w:rsidR="00210090" w:rsidRPr="00AA4A0B">
              <w:rPr>
                <w:rFonts w:ascii="Calibri" w:hAnsi="Calibri" w:cs="Calibri"/>
                <w:kern w:val="24"/>
                <w:sz w:val="22"/>
                <w:szCs w:val="22"/>
                <w:lang w:val="nl-NL" w:eastAsia="fr-BE"/>
              </w:rPr>
              <w:t xml:space="preserve"> 2012)</w:t>
            </w:r>
          </w:p>
        </w:tc>
        <w:tc>
          <w:tcPr>
            <w:tcW w:w="1021" w:type="pct"/>
            <w:tcBorders>
              <w:top w:val="single" w:sz="4" w:space="0" w:color="auto"/>
              <w:bottom w:val="double" w:sz="4" w:space="0" w:color="auto"/>
            </w:tcBorders>
            <w:shd w:val="clear" w:color="auto" w:fill="D9D9D9"/>
            <w:vAlign w:val="center"/>
          </w:tcPr>
          <w:p w:rsidR="00210090" w:rsidRPr="00AA4A0B" w:rsidRDefault="002D3794" w:rsidP="00210090">
            <w:pPr>
              <w:keepNext/>
              <w:tabs>
                <w:tab w:val="left" w:pos="1736"/>
              </w:tabs>
              <w:ind w:left="57" w:right="176"/>
              <w:jc w:val="center"/>
              <w:rPr>
                <w:rFonts w:ascii="Calibri" w:eastAsia="Times New Roman" w:hAnsi="Calibri" w:cs="Calibri"/>
                <w:sz w:val="22"/>
                <w:szCs w:val="22"/>
                <w:lang w:val="nl-NL" w:eastAsia="fr-BE"/>
              </w:rPr>
            </w:pPr>
            <w:r w:rsidRPr="00AA4A0B">
              <w:rPr>
                <w:rFonts w:ascii="Calibri" w:hAnsi="Calibri" w:cs="Calibri"/>
                <w:b/>
                <w:bCs/>
                <w:kern w:val="24"/>
                <w:sz w:val="22"/>
                <w:szCs w:val="22"/>
                <w:lang w:val="nl-NL" w:eastAsia="fr-BE"/>
              </w:rPr>
              <w:t>8</w:t>
            </w:r>
          </w:p>
        </w:tc>
        <w:tc>
          <w:tcPr>
            <w:tcW w:w="2295" w:type="pct"/>
            <w:tcBorders>
              <w:top w:val="single" w:sz="4" w:space="0" w:color="auto"/>
              <w:bottom w:val="double" w:sz="4" w:space="0" w:color="auto"/>
            </w:tcBorders>
            <w:shd w:val="clear" w:color="auto" w:fill="D9D9D9"/>
            <w:vAlign w:val="center"/>
          </w:tcPr>
          <w:p w:rsidR="00210090" w:rsidRPr="00AA4A0B" w:rsidRDefault="00BA2340" w:rsidP="00AB0F8D">
            <w:pPr>
              <w:keepNext/>
              <w:ind w:left="56"/>
              <w:jc w:val="left"/>
              <w:rPr>
                <w:rFonts w:ascii="Calibri" w:eastAsia="Times New Roman" w:hAnsi="Calibri" w:cs="Calibri"/>
                <w:sz w:val="22"/>
                <w:szCs w:val="22"/>
                <w:lang w:val="nl-NL" w:eastAsia="fr-BE"/>
              </w:rPr>
            </w:pPr>
            <w:r w:rsidRPr="00AA4A0B">
              <w:rPr>
                <w:rFonts w:ascii="Calibri" w:hAnsi="Calibri" w:cs="Calibri"/>
                <w:sz w:val="22"/>
                <w:szCs w:val="22"/>
                <w:lang w:val="nl-NL" w:eastAsia="fr-BE"/>
              </w:rPr>
              <w:t>Totaal afval</w:t>
            </w:r>
            <w:r w:rsidR="00210090" w:rsidRPr="00AA4A0B">
              <w:rPr>
                <w:rFonts w:ascii="Calibri" w:hAnsi="Calibri" w:cs="Calibri"/>
                <w:kern w:val="24"/>
                <w:sz w:val="22"/>
                <w:szCs w:val="22"/>
                <w:lang w:val="nl-NL" w:eastAsia="fr-BE"/>
              </w:rPr>
              <w:t xml:space="preserve">, </w:t>
            </w:r>
            <w:r w:rsidR="00AB0F8D">
              <w:rPr>
                <w:rFonts w:ascii="Calibri" w:hAnsi="Calibri" w:cs="Calibri"/>
                <w:kern w:val="24"/>
                <w:sz w:val="22"/>
                <w:szCs w:val="22"/>
                <w:lang w:val="nl-NL" w:eastAsia="fr-BE"/>
              </w:rPr>
              <w:t>uitgezonderd</w:t>
            </w:r>
            <w:r w:rsidR="006E5DAF" w:rsidRPr="00AA4A0B">
              <w:rPr>
                <w:rFonts w:ascii="Calibri" w:hAnsi="Calibri" w:cs="Calibri"/>
                <w:kern w:val="24"/>
                <w:sz w:val="22"/>
                <w:szCs w:val="22"/>
                <w:lang w:val="nl-NL" w:eastAsia="fr-BE"/>
              </w:rPr>
              <w:t xml:space="preserve"> olie voor de voeding</w:t>
            </w:r>
            <w:r w:rsidR="00210090" w:rsidRPr="00AA4A0B">
              <w:rPr>
                <w:rFonts w:ascii="Calibri" w:hAnsi="Calibri" w:cs="Calibri"/>
                <w:kern w:val="24"/>
                <w:sz w:val="22"/>
                <w:szCs w:val="22"/>
                <w:lang w:val="nl-NL" w:eastAsia="fr-BE"/>
              </w:rPr>
              <w:t xml:space="preserve">  (restaurant)</w:t>
            </w:r>
          </w:p>
        </w:tc>
      </w:tr>
      <w:tr w:rsidR="00210090" w:rsidRPr="00681301" w:rsidTr="00210090">
        <w:trPr>
          <w:trHeight w:val="454"/>
          <w:jc w:val="center"/>
        </w:trPr>
        <w:tc>
          <w:tcPr>
            <w:tcW w:w="1684" w:type="pct"/>
            <w:tcBorders>
              <w:top w:val="double" w:sz="4" w:space="0" w:color="auto"/>
            </w:tcBorders>
            <w:shd w:val="clear" w:color="auto" w:fill="FFFFFF"/>
            <w:vAlign w:val="center"/>
          </w:tcPr>
          <w:p w:rsidR="00210090" w:rsidRPr="00AA4A0B" w:rsidRDefault="00BA2340" w:rsidP="00210090">
            <w:pPr>
              <w:keepNext/>
              <w:ind w:left="0"/>
              <w:jc w:val="left"/>
              <w:rPr>
                <w:rFonts w:ascii="Calibri" w:eastAsia="Times New Roman" w:hAnsi="Calibri" w:cs="Calibri"/>
                <w:sz w:val="22"/>
                <w:szCs w:val="22"/>
                <w:lang w:val="nl-NL" w:eastAsia="fr-BE"/>
              </w:rPr>
            </w:pPr>
            <w:r w:rsidRPr="00AA4A0B">
              <w:rPr>
                <w:rFonts w:ascii="Calibri" w:hAnsi="Calibri" w:cs="Calibri"/>
                <w:kern w:val="24"/>
                <w:sz w:val="22"/>
                <w:szCs w:val="22"/>
                <w:lang w:val="nl-NL" w:eastAsia="fr-BE"/>
              </w:rPr>
              <w:t>Vlaanderen</w:t>
            </w:r>
            <w:r w:rsidR="00210090" w:rsidRPr="00AA4A0B">
              <w:rPr>
                <w:rFonts w:ascii="Calibri" w:hAnsi="Calibri" w:cs="Calibri"/>
                <w:kern w:val="24"/>
                <w:sz w:val="22"/>
                <w:szCs w:val="22"/>
                <w:lang w:val="nl-NL" w:eastAsia="fr-BE"/>
              </w:rPr>
              <w:t xml:space="preserve"> (2002)</w:t>
            </w:r>
          </w:p>
        </w:tc>
        <w:tc>
          <w:tcPr>
            <w:tcW w:w="1021" w:type="pct"/>
            <w:tcBorders>
              <w:top w:val="double" w:sz="4" w:space="0" w:color="auto"/>
            </w:tcBorders>
            <w:vAlign w:val="center"/>
          </w:tcPr>
          <w:p w:rsidR="00210090" w:rsidRPr="00AA4A0B" w:rsidRDefault="00210090" w:rsidP="00210090">
            <w:pPr>
              <w:keepNext/>
              <w:tabs>
                <w:tab w:val="left" w:pos="1736"/>
              </w:tabs>
              <w:ind w:left="57" w:right="176"/>
              <w:jc w:val="center"/>
              <w:rPr>
                <w:rFonts w:ascii="Calibri" w:eastAsia="Times New Roman" w:hAnsi="Calibri" w:cs="Calibri"/>
                <w:sz w:val="22"/>
                <w:szCs w:val="22"/>
                <w:lang w:val="nl-NL" w:eastAsia="fr-BE"/>
              </w:rPr>
            </w:pPr>
            <w:r w:rsidRPr="00AA4A0B">
              <w:rPr>
                <w:rFonts w:ascii="Calibri" w:hAnsi="Calibri" w:cs="Calibri"/>
                <w:kern w:val="24"/>
                <w:sz w:val="22"/>
                <w:szCs w:val="22"/>
                <w:lang w:val="nl-NL" w:eastAsia="fr-BE"/>
              </w:rPr>
              <w:t>5</w:t>
            </w:r>
          </w:p>
        </w:tc>
        <w:tc>
          <w:tcPr>
            <w:tcW w:w="2295" w:type="pct"/>
            <w:tcBorders>
              <w:top w:val="double" w:sz="4" w:space="0" w:color="auto"/>
            </w:tcBorders>
            <w:vAlign w:val="center"/>
          </w:tcPr>
          <w:p w:rsidR="00210090" w:rsidRPr="00AA4A0B" w:rsidRDefault="00BA2340" w:rsidP="00AB0F8D">
            <w:pPr>
              <w:keepNext/>
              <w:ind w:left="56"/>
              <w:jc w:val="left"/>
              <w:rPr>
                <w:rFonts w:ascii="Calibri" w:eastAsia="Times New Roman" w:hAnsi="Calibri" w:cs="Calibri"/>
                <w:sz w:val="22"/>
                <w:szCs w:val="22"/>
                <w:lang w:val="nl-NL" w:eastAsia="fr-BE"/>
              </w:rPr>
            </w:pPr>
            <w:r w:rsidRPr="00AA4A0B">
              <w:rPr>
                <w:rFonts w:ascii="Calibri" w:hAnsi="Calibri" w:cs="Calibri"/>
                <w:sz w:val="22"/>
                <w:szCs w:val="22"/>
                <w:lang w:val="nl-NL" w:eastAsia="fr-BE"/>
              </w:rPr>
              <w:t>Totaal afval</w:t>
            </w:r>
            <w:r w:rsidR="00210090" w:rsidRPr="00AA4A0B">
              <w:rPr>
                <w:rFonts w:ascii="Calibri" w:hAnsi="Calibri" w:cs="Calibri"/>
                <w:kern w:val="24"/>
                <w:sz w:val="22"/>
                <w:szCs w:val="22"/>
                <w:lang w:val="nl-NL" w:eastAsia="fr-BE"/>
              </w:rPr>
              <w:t xml:space="preserve">, </w:t>
            </w:r>
            <w:r w:rsidR="00AB0F8D">
              <w:rPr>
                <w:rFonts w:ascii="Calibri" w:hAnsi="Calibri" w:cs="Calibri"/>
                <w:kern w:val="24"/>
                <w:sz w:val="22"/>
                <w:szCs w:val="22"/>
                <w:lang w:val="nl-NL" w:eastAsia="fr-BE"/>
              </w:rPr>
              <w:t>uitgezonderd</w:t>
            </w:r>
            <w:r w:rsidR="00AB0F8D" w:rsidRPr="00AA4A0B">
              <w:rPr>
                <w:rFonts w:ascii="Calibri" w:hAnsi="Calibri" w:cs="Calibri"/>
                <w:kern w:val="24"/>
                <w:sz w:val="22"/>
                <w:szCs w:val="22"/>
                <w:lang w:val="nl-NL" w:eastAsia="fr-BE"/>
              </w:rPr>
              <w:t xml:space="preserve"> </w:t>
            </w:r>
            <w:r w:rsidR="006E5DAF" w:rsidRPr="00AA4A0B">
              <w:rPr>
                <w:rFonts w:ascii="Calibri" w:hAnsi="Calibri" w:cs="Calibri"/>
                <w:kern w:val="24"/>
                <w:sz w:val="22"/>
                <w:szCs w:val="22"/>
                <w:lang w:val="nl-NL" w:eastAsia="fr-BE"/>
              </w:rPr>
              <w:t>selectief opgehaald glas</w:t>
            </w:r>
            <w:r w:rsidR="00210090" w:rsidRPr="00AA4A0B">
              <w:rPr>
                <w:rFonts w:ascii="Calibri" w:hAnsi="Calibri" w:cs="Calibri"/>
                <w:kern w:val="24"/>
                <w:sz w:val="22"/>
                <w:szCs w:val="22"/>
                <w:lang w:val="nl-NL" w:eastAsia="fr-BE"/>
              </w:rPr>
              <w:t xml:space="preserve"> (</w:t>
            </w:r>
            <w:r w:rsidR="006E5DAF" w:rsidRPr="00AA4A0B">
              <w:rPr>
                <w:rFonts w:ascii="Calibri" w:hAnsi="Calibri" w:cs="Calibri"/>
                <w:kern w:val="24"/>
                <w:sz w:val="22"/>
                <w:szCs w:val="22"/>
                <w:lang w:val="nl-NL" w:eastAsia="fr-BE"/>
              </w:rPr>
              <w:t xml:space="preserve">en waarschijnlijk </w:t>
            </w:r>
            <w:r w:rsidR="00AB0F8D">
              <w:rPr>
                <w:rFonts w:ascii="Calibri" w:hAnsi="Calibri" w:cs="Calibri"/>
                <w:kern w:val="24"/>
                <w:sz w:val="22"/>
                <w:szCs w:val="22"/>
                <w:lang w:val="nl-NL" w:eastAsia="fr-BE"/>
              </w:rPr>
              <w:t>uitgezonderd</w:t>
            </w:r>
            <w:r w:rsidR="00AB0F8D" w:rsidRPr="00AA4A0B">
              <w:rPr>
                <w:rFonts w:ascii="Calibri" w:hAnsi="Calibri" w:cs="Calibri"/>
                <w:kern w:val="24"/>
                <w:sz w:val="22"/>
                <w:szCs w:val="22"/>
                <w:lang w:val="nl-NL" w:eastAsia="fr-BE"/>
              </w:rPr>
              <w:t xml:space="preserve"> </w:t>
            </w:r>
            <w:r w:rsidR="006E5DAF" w:rsidRPr="00AA4A0B">
              <w:rPr>
                <w:rFonts w:ascii="Calibri" w:hAnsi="Calibri" w:cs="Calibri"/>
                <w:kern w:val="24"/>
                <w:sz w:val="22"/>
                <w:szCs w:val="22"/>
                <w:lang w:val="nl-NL" w:eastAsia="fr-BE"/>
              </w:rPr>
              <w:t>elke selectieve inzameling)</w:t>
            </w:r>
          </w:p>
        </w:tc>
      </w:tr>
      <w:tr w:rsidR="00210090" w:rsidRPr="00AA4A0B" w:rsidTr="00210090">
        <w:trPr>
          <w:trHeight w:val="454"/>
          <w:jc w:val="center"/>
        </w:trPr>
        <w:tc>
          <w:tcPr>
            <w:tcW w:w="1684" w:type="pct"/>
            <w:tcBorders>
              <w:bottom w:val="double" w:sz="4" w:space="0" w:color="auto"/>
            </w:tcBorders>
            <w:shd w:val="clear" w:color="auto" w:fill="D9D9D9"/>
            <w:vAlign w:val="center"/>
          </w:tcPr>
          <w:p w:rsidR="00210090" w:rsidRPr="00AA4A0B" w:rsidRDefault="00BA2340" w:rsidP="00AC423F">
            <w:pPr>
              <w:keepNext/>
              <w:ind w:left="0"/>
              <w:jc w:val="left"/>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Resultaten van de campagne op het terrein (Brussel</w:t>
            </w:r>
            <w:r w:rsidR="00210090" w:rsidRPr="00AA4A0B">
              <w:rPr>
                <w:rFonts w:ascii="Calibri" w:hAnsi="Calibri" w:cs="Calibri"/>
                <w:kern w:val="24"/>
                <w:sz w:val="22"/>
                <w:szCs w:val="22"/>
                <w:lang w:val="nl-NL" w:eastAsia="fr-BE"/>
              </w:rPr>
              <w:t xml:space="preserve"> 2012)</w:t>
            </w:r>
          </w:p>
        </w:tc>
        <w:tc>
          <w:tcPr>
            <w:tcW w:w="1021" w:type="pct"/>
            <w:tcBorders>
              <w:bottom w:val="double" w:sz="4" w:space="0" w:color="auto"/>
            </w:tcBorders>
            <w:shd w:val="clear" w:color="auto" w:fill="D9D9D9"/>
            <w:vAlign w:val="center"/>
          </w:tcPr>
          <w:p w:rsidR="00210090" w:rsidRPr="00AA4A0B" w:rsidRDefault="002D3794" w:rsidP="00210090">
            <w:pPr>
              <w:keepNext/>
              <w:tabs>
                <w:tab w:val="left" w:pos="1736"/>
              </w:tabs>
              <w:ind w:left="57" w:right="176"/>
              <w:jc w:val="center"/>
              <w:rPr>
                <w:rFonts w:ascii="Calibri" w:eastAsia="Times New Roman" w:hAnsi="Calibri" w:cs="Calibri"/>
                <w:kern w:val="24"/>
                <w:sz w:val="22"/>
                <w:szCs w:val="22"/>
                <w:lang w:val="nl-NL" w:eastAsia="fr-BE"/>
              </w:rPr>
            </w:pPr>
            <w:r w:rsidRPr="00AA4A0B">
              <w:rPr>
                <w:rFonts w:ascii="Calibri" w:hAnsi="Calibri" w:cs="Calibri"/>
                <w:b/>
                <w:bCs/>
                <w:kern w:val="24"/>
                <w:sz w:val="22"/>
                <w:szCs w:val="22"/>
                <w:lang w:val="nl-NL" w:eastAsia="fr-BE"/>
              </w:rPr>
              <w:t>4</w:t>
            </w:r>
            <w:r w:rsidR="00210090" w:rsidRPr="00AA4A0B">
              <w:rPr>
                <w:rFonts w:ascii="Calibri" w:hAnsi="Calibri" w:cs="Calibri"/>
                <w:b/>
                <w:bCs/>
                <w:kern w:val="24"/>
                <w:sz w:val="22"/>
                <w:szCs w:val="22"/>
                <w:lang w:val="nl-NL" w:eastAsia="fr-BE"/>
              </w:rPr>
              <w:t>.6</w:t>
            </w:r>
          </w:p>
        </w:tc>
        <w:tc>
          <w:tcPr>
            <w:tcW w:w="2295" w:type="pct"/>
            <w:tcBorders>
              <w:bottom w:val="double" w:sz="4" w:space="0" w:color="auto"/>
            </w:tcBorders>
            <w:shd w:val="clear" w:color="auto" w:fill="D9D9D9"/>
            <w:vAlign w:val="center"/>
          </w:tcPr>
          <w:p w:rsidR="00210090" w:rsidRPr="00AA4A0B" w:rsidRDefault="006E5DAF" w:rsidP="00210090">
            <w:pPr>
              <w:keepNext/>
              <w:ind w:left="56"/>
              <w:jc w:val="left"/>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Restafval</w:t>
            </w:r>
            <w:r w:rsidR="00210090" w:rsidRPr="00AA4A0B">
              <w:rPr>
                <w:rFonts w:ascii="Calibri" w:hAnsi="Calibri" w:cs="Calibri"/>
                <w:kern w:val="24"/>
                <w:sz w:val="22"/>
                <w:szCs w:val="22"/>
                <w:lang w:val="nl-NL" w:eastAsia="fr-BE"/>
              </w:rPr>
              <w:t xml:space="preserve"> (restaurant)</w:t>
            </w:r>
          </w:p>
        </w:tc>
      </w:tr>
      <w:tr w:rsidR="00210090" w:rsidRPr="00AA4A0B" w:rsidTr="00210090">
        <w:trPr>
          <w:trHeight w:val="454"/>
          <w:jc w:val="center"/>
        </w:trPr>
        <w:tc>
          <w:tcPr>
            <w:tcW w:w="1684" w:type="pct"/>
            <w:tcBorders>
              <w:top w:val="double" w:sz="4" w:space="0" w:color="auto"/>
            </w:tcBorders>
            <w:vAlign w:val="center"/>
          </w:tcPr>
          <w:p w:rsidR="00210090" w:rsidRPr="00AA4A0B" w:rsidRDefault="00BA2340" w:rsidP="00210090">
            <w:pPr>
              <w:keepNext/>
              <w:ind w:left="0"/>
              <w:jc w:val="left"/>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Frankrijk</w:t>
            </w:r>
            <w:r w:rsidR="00210090" w:rsidRPr="00AA4A0B">
              <w:rPr>
                <w:rFonts w:ascii="Calibri" w:hAnsi="Calibri" w:cs="Calibri"/>
                <w:kern w:val="24"/>
                <w:sz w:val="22"/>
                <w:szCs w:val="22"/>
                <w:lang w:val="nl-NL" w:eastAsia="fr-BE"/>
              </w:rPr>
              <w:t xml:space="preserve"> (2009)</w:t>
            </w:r>
          </w:p>
        </w:tc>
        <w:tc>
          <w:tcPr>
            <w:tcW w:w="1021" w:type="pct"/>
            <w:tcBorders>
              <w:top w:val="double" w:sz="4" w:space="0" w:color="auto"/>
            </w:tcBorders>
            <w:vAlign w:val="center"/>
          </w:tcPr>
          <w:p w:rsidR="00210090" w:rsidRPr="00AA4A0B" w:rsidRDefault="00210090" w:rsidP="00210090">
            <w:pPr>
              <w:keepNext/>
              <w:tabs>
                <w:tab w:val="left" w:pos="1736"/>
              </w:tabs>
              <w:ind w:left="57" w:right="176"/>
              <w:jc w:val="center"/>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50</w:t>
            </w:r>
          </w:p>
        </w:tc>
        <w:tc>
          <w:tcPr>
            <w:tcW w:w="2295" w:type="pct"/>
            <w:tcBorders>
              <w:top w:val="double" w:sz="4" w:space="0" w:color="auto"/>
            </w:tcBorders>
            <w:vAlign w:val="center"/>
          </w:tcPr>
          <w:p w:rsidR="00210090" w:rsidRPr="00AA4A0B" w:rsidRDefault="00BA2340" w:rsidP="00210090">
            <w:pPr>
              <w:keepNext/>
              <w:ind w:left="56"/>
              <w:jc w:val="left"/>
              <w:rPr>
                <w:rFonts w:ascii="Calibri" w:eastAsia="Times New Roman" w:hAnsi="Calibri" w:cs="Calibri"/>
                <w:kern w:val="24"/>
                <w:sz w:val="22"/>
                <w:szCs w:val="22"/>
                <w:lang w:val="nl-NL" w:eastAsia="fr-BE"/>
              </w:rPr>
            </w:pPr>
            <w:r w:rsidRPr="00AA4A0B">
              <w:rPr>
                <w:rFonts w:ascii="Calibri" w:hAnsi="Calibri" w:cs="Calibri"/>
                <w:sz w:val="22"/>
                <w:szCs w:val="22"/>
                <w:lang w:val="nl-NL" w:eastAsia="fr-BE"/>
              </w:rPr>
              <w:t>Totaal afval</w:t>
            </w:r>
            <w:r w:rsidR="00210090" w:rsidRPr="00AA4A0B">
              <w:rPr>
                <w:rFonts w:ascii="Calibri" w:hAnsi="Calibri" w:cs="Calibri"/>
                <w:kern w:val="24"/>
                <w:sz w:val="22"/>
                <w:szCs w:val="22"/>
                <w:lang w:val="nl-NL" w:eastAsia="fr-BE"/>
              </w:rPr>
              <w:t xml:space="preserve"> Mc Donald’s</w:t>
            </w:r>
          </w:p>
        </w:tc>
      </w:tr>
      <w:tr w:rsidR="00210090" w:rsidRPr="00AA4A0B" w:rsidTr="00210090">
        <w:trPr>
          <w:trHeight w:val="454"/>
          <w:jc w:val="center"/>
        </w:trPr>
        <w:tc>
          <w:tcPr>
            <w:tcW w:w="1684" w:type="pct"/>
            <w:shd w:val="clear" w:color="auto" w:fill="D9D9D9"/>
            <w:vAlign w:val="center"/>
          </w:tcPr>
          <w:p w:rsidR="00210090" w:rsidRPr="00AA4A0B" w:rsidRDefault="00BA2340" w:rsidP="00210090">
            <w:pPr>
              <w:keepNext/>
              <w:ind w:left="0"/>
              <w:jc w:val="left"/>
              <w:rPr>
                <w:rFonts w:ascii="Calibri" w:eastAsia="Times New Roman" w:hAnsi="Calibri" w:cs="Calibri"/>
                <w:kern w:val="24"/>
                <w:sz w:val="22"/>
                <w:szCs w:val="22"/>
                <w:lang w:val="nl-NL" w:eastAsia="fr-BE"/>
              </w:rPr>
            </w:pPr>
            <w:r w:rsidRPr="00AA4A0B">
              <w:rPr>
                <w:rFonts w:ascii="Calibri" w:hAnsi="Calibri" w:cs="Calibri"/>
                <w:kern w:val="24"/>
                <w:sz w:val="22"/>
                <w:szCs w:val="22"/>
                <w:lang w:val="nl-NL" w:eastAsia="fr-BE"/>
              </w:rPr>
              <w:t>Resultaten van de campagne op het terrein  (Brussel</w:t>
            </w:r>
            <w:r w:rsidR="00AC423F" w:rsidRPr="00AA4A0B">
              <w:rPr>
                <w:rFonts w:ascii="Calibri" w:hAnsi="Calibri" w:cs="Calibri"/>
                <w:kern w:val="24"/>
                <w:sz w:val="22"/>
                <w:szCs w:val="22"/>
                <w:lang w:val="nl-NL" w:eastAsia="fr-BE"/>
              </w:rPr>
              <w:t xml:space="preserve"> 2012)</w:t>
            </w:r>
          </w:p>
        </w:tc>
        <w:tc>
          <w:tcPr>
            <w:tcW w:w="1021" w:type="pct"/>
            <w:shd w:val="clear" w:color="auto" w:fill="D9D9D9"/>
            <w:vAlign w:val="center"/>
          </w:tcPr>
          <w:p w:rsidR="00210090" w:rsidRPr="00AA4A0B" w:rsidRDefault="00210090" w:rsidP="00210090">
            <w:pPr>
              <w:keepNext/>
              <w:tabs>
                <w:tab w:val="left" w:pos="1736"/>
              </w:tabs>
              <w:ind w:left="57" w:right="176"/>
              <w:jc w:val="center"/>
              <w:rPr>
                <w:rFonts w:ascii="Calibri" w:eastAsia="Times New Roman" w:hAnsi="Calibri" w:cs="Calibri"/>
                <w:b/>
                <w:bCs/>
                <w:kern w:val="24"/>
                <w:sz w:val="22"/>
                <w:szCs w:val="22"/>
                <w:lang w:val="nl-NL" w:eastAsia="fr-BE"/>
              </w:rPr>
            </w:pPr>
            <w:r w:rsidRPr="00AA4A0B">
              <w:rPr>
                <w:rFonts w:ascii="Calibri" w:hAnsi="Calibri" w:cs="Calibri"/>
                <w:b/>
                <w:bCs/>
                <w:kern w:val="24"/>
                <w:sz w:val="22"/>
                <w:szCs w:val="22"/>
                <w:lang w:val="nl-NL" w:eastAsia="fr-BE"/>
              </w:rPr>
              <w:t>47</w:t>
            </w:r>
          </w:p>
        </w:tc>
        <w:tc>
          <w:tcPr>
            <w:tcW w:w="2295" w:type="pct"/>
            <w:shd w:val="clear" w:color="auto" w:fill="D9D9D9"/>
            <w:vAlign w:val="center"/>
          </w:tcPr>
          <w:p w:rsidR="00210090" w:rsidRPr="00AA4A0B" w:rsidRDefault="00BA2340" w:rsidP="00210090">
            <w:pPr>
              <w:keepNext/>
              <w:ind w:left="56"/>
              <w:jc w:val="left"/>
              <w:rPr>
                <w:rFonts w:ascii="Calibri" w:eastAsia="Times New Roman" w:hAnsi="Calibri" w:cs="Calibri"/>
                <w:kern w:val="24"/>
                <w:sz w:val="22"/>
                <w:szCs w:val="22"/>
                <w:lang w:val="nl-NL" w:eastAsia="fr-BE"/>
              </w:rPr>
            </w:pPr>
            <w:r w:rsidRPr="00AA4A0B">
              <w:rPr>
                <w:rFonts w:ascii="Calibri" w:hAnsi="Calibri" w:cs="Calibri"/>
                <w:sz w:val="22"/>
                <w:szCs w:val="22"/>
                <w:lang w:val="nl-NL" w:eastAsia="fr-BE"/>
              </w:rPr>
              <w:t>Totaal afval</w:t>
            </w:r>
            <w:r w:rsidR="00A73CAF" w:rsidRPr="00AA4A0B">
              <w:rPr>
                <w:rFonts w:ascii="Calibri" w:hAnsi="Calibri" w:cs="Calibri"/>
                <w:kern w:val="24"/>
                <w:sz w:val="22"/>
                <w:szCs w:val="22"/>
                <w:lang w:val="nl-NL" w:eastAsia="fr-BE"/>
              </w:rPr>
              <w:t xml:space="preserve"> fast</w:t>
            </w:r>
            <w:r w:rsidR="00210090" w:rsidRPr="00AA4A0B">
              <w:rPr>
                <w:rFonts w:ascii="Calibri" w:hAnsi="Calibri" w:cs="Calibri"/>
                <w:kern w:val="24"/>
                <w:sz w:val="22"/>
                <w:szCs w:val="22"/>
                <w:lang w:val="nl-NL" w:eastAsia="fr-BE"/>
              </w:rPr>
              <w:t>food</w:t>
            </w:r>
          </w:p>
        </w:tc>
      </w:tr>
    </w:tbl>
    <w:p w:rsidR="00210090" w:rsidRPr="00AA4A0B" w:rsidRDefault="006E5DAF" w:rsidP="00210090">
      <w:pPr>
        <w:pStyle w:val="Lgende"/>
        <w:rPr>
          <w:sz w:val="14"/>
          <w:lang w:val="nl-NL"/>
        </w:rPr>
      </w:pPr>
      <w:r w:rsidRPr="00AA4A0B">
        <w:rPr>
          <w:sz w:val="14"/>
          <w:lang w:val="nl-NL"/>
        </w:rPr>
        <w:t>Afbeelding</w:t>
      </w:r>
      <w:r w:rsidR="00210090" w:rsidRPr="00AA4A0B">
        <w:rPr>
          <w:sz w:val="14"/>
          <w:lang w:val="nl-NL"/>
        </w:rPr>
        <w:t xml:space="preserve"> </w:t>
      </w:r>
      <w:r w:rsidR="00210090" w:rsidRPr="00AA4A0B">
        <w:rPr>
          <w:sz w:val="14"/>
          <w:lang w:val="nl-NL"/>
        </w:rPr>
        <w:fldChar w:fldCharType="begin"/>
      </w:r>
      <w:r w:rsidR="00210090" w:rsidRPr="00AA4A0B">
        <w:rPr>
          <w:sz w:val="14"/>
          <w:lang w:val="nl-NL"/>
        </w:rPr>
        <w:instrText xml:space="preserve"> SEQ Figure \* ARABIC </w:instrText>
      </w:r>
      <w:r w:rsidR="00210090" w:rsidRPr="00AA4A0B">
        <w:rPr>
          <w:sz w:val="14"/>
          <w:lang w:val="nl-NL"/>
        </w:rPr>
        <w:fldChar w:fldCharType="separate"/>
      </w:r>
      <w:r w:rsidR="00C44484" w:rsidRPr="00AA4A0B">
        <w:rPr>
          <w:noProof/>
          <w:sz w:val="14"/>
          <w:lang w:val="nl-NL"/>
        </w:rPr>
        <w:t>4</w:t>
      </w:r>
      <w:r w:rsidR="00210090" w:rsidRPr="00AA4A0B">
        <w:rPr>
          <w:sz w:val="14"/>
          <w:lang w:val="nl-NL"/>
        </w:rPr>
        <w:fldChar w:fldCharType="end"/>
      </w:r>
      <w:r w:rsidRPr="00AA4A0B">
        <w:rPr>
          <w:sz w:val="14"/>
          <w:lang w:val="nl-NL"/>
        </w:rPr>
        <w:t xml:space="preserve"> : Uittreksel van de</w:t>
      </w:r>
      <w:r w:rsidR="00210090" w:rsidRPr="00AA4A0B">
        <w:rPr>
          <w:sz w:val="14"/>
          <w:lang w:val="nl-NL"/>
        </w:rPr>
        <w:t xml:space="preserve"> benchmarking</w:t>
      </w:r>
      <w:r w:rsidRPr="00AA4A0B">
        <w:rPr>
          <w:sz w:val="14"/>
          <w:lang w:val="nl-NL"/>
        </w:rPr>
        <w:t>gegevens ter vergelijking met de campagne op het terrein</w:t>
      </w:r>
      <w:r w:rsidR="00A73CAF" w:rsidRPr="00AA4A0B">
        <w:rPr>
          <w:sz w:val="14"/>
          <w:lang w:val="nl-NL"/>
        </w:rPr>
        <w:t xml:space="preserve"> (ton/</w:t>
      </w:r>
      <w:proofErr w:type="spellStart"/>
      <w:r w:rsidR="00A73CAF" w:rsidRPr="00AA4A0B">
        <w:rPr>
          <w:sz w:val="14"/>
          <w:lang w:val="nl-NL"/>
        </w:rPr>
        <w:t>etablissement</w:t>
      </w:r>
      <w:r w:rsidR="00EA5C2D">
        <w:rPr>
          <w:sz w:val="14"/>
          <w:lang w:val="nl-NL"/>
        </w:rPr>
        <w:t>.</w:t>
      </w:r>
      <w:r w:rsidRPr="00AA4A0B">
        <w:rPr>
          <w:sz w:val="14"/>
          <w:lang w:val="nl-NL"/>
        </w:rPr>
        <w:t>jaar</w:t>
      </w:r>
      <w:proofErr w:type="spellEnd"/>
      <w:r w:rsidR="00210090" w:rsidRPr="00AA4A0B">
        <w:rPr>
          <w:sz w:val="14"/>
          <w:lang w:val="nl-NL"/>
        </w:rPr>
        <w:t>)</w:t>
      </w:r>
      <w:r w:rsidR="008D0D5B" w:rsidRPr="00AA4A0B">
        <w:rPr>
          <w:sz w:val="14"/>
          <w:lang w:val="nl-NL"/>
        </w:rPr>
        <w:t xml:space="preserve">. </w:t>
      </w:r>
      <w:r w:rsidRPr="00AA4A0B">
        <w:rPr>
          <w:sz w:val="14"/>
          <w:lang w:val="nl-NL"/>
        </w:rPr>
        <w:t xml:space="preserve">Bronnen beschikbaar in het eindrapport van de studie. </w:t>
      </w:r>
    </w:p>
    <w:p w:rsidR="00EC5CAC" w:rsidRPr="00AA4A0B" w:rsidRDefault="00EC5CAC" w:rsidP="00EC5CAC">
      <w:pPr>
        <w:pStyle w:val="BETitreNiveau2"/>
        <w:ind w:left="1644" w:hanging="431"/>
        <w:rPr>
          <w:lang w:val="nl-NL"/>
        </w:rPr>
      </w:pPr>
      <w:r w:rsidRPr="00AA4A0B">
        <w:rPr>
          <w:lang w:val="nl-NL"/>
        </w:rPr>
        <w:t xml:space="preserve">analyse </w:t>
      </w:r>
      <w:r w:rsidR="006E5DAF" w:rsidRPr="00AA4A0B">
        <w:rPr>
          <w:lang w:val="nl-NL"/>
        </w:rPr>
        <w:t xml:space="preserve">VAN HET ORGANISCH AFVAL VAN DE RESTAURANTS EN VAN DE PRAKTIJKEN OP HET TERREIN </w:t>
      </w:r>
      <w:r w:rsidR="000B458A" w:rsidRPr="00AA4A0B">
        <w:rPr>
          <w:lang w:val="nl-NL"/>
        </w:rPr>
        <w:t xml:space="preserve"> </w:t>
      </w:r>
    </w:p>
    <w:p w:rsidR="00A55BDA" w:rsidRPr="00AA4A0B" w:rsidRDefault="002F586C" w:rsidP="00EC5CAC">
      <w:pPr>
        <w:rPr>
          <w:lang w:val="nl-NL"/>
        </w:rPr>
      </w:pPr>
      <w:r w:rsidRPr="00AA4A0B">
        <w:rPr>
          <w:lang w:val="nl-NL"/>
        </w:rPr>
        <w:t xml:space="preserve">Metingen en observaties van </w:t>
      </w:r>
      <w:r w:rsidR="00EA5C2D">
        <w:rPr>
          <w:lang w:val="nl-NL"/>
        </w:rPr>
        <w:t xml:space="preserve">het </w:t>
      </w:r>
      <w:r w:rsidRPr="00AA4A0B">
        <w:rPr>
          <w:lang w:val="nl-NL"/>
        </w:rPr>
        <w:t xml:space="preserve">organisch afval </w:t>
      </w:r>
      <w:r w:rsidR="00A73CAF" w:rsidRPr="00AA4A0B">
        <w:rPr>
          <w:lang w:val="nl-NL"/>
        </w:rPr>
        <w:t>dat bij het “restafval” wordt geg</w:t>
      </w:r>
      <w:r w:rsidRPr="00AA4A0B">
        <w:rPr>
          <w:lang w:val="nl-NL"/>
        </w:rPr>
        <w:t>ooid</w:t>
      </w:r>
      <w:r w:rsidR="00A73CAF" w:rsidRPr="00AA4A0B">
        <w:rPr>
          <w:lang w:val="nl-NL"/>
        </w:rPr>
        <w:t>,</w:t>
      </w:r>
      <w:r w:rsidRPr="00AA4A0B">
        <w:rPr>
          <w:lang w:val="nl-NL"/>
        </w:rPr>
        <w:t xml:space="preserve"> werden uitgevoerd bij 22 restaurants om de volgende gegevens te verkrijgen : </w:t>
      </w:r>
    </w:p>
    <w:p w:rsidR="0013622C" w:rsidRPr="00AA4A0B" w:rsidRDefault="00AA4A0B" w:rsidP="00732547">
      <w:pPr>
        <w:pStyle w:val="Puce3"/>
        <w:ind w:right="848"/>
        <w:rPr>
          <w:rFonts w:ascii="Arial" w:hAnsi="Arial" w:cs="Arial"/>
          <w:lang w:val="nl-NL"/>
        </w:rPr>
      </w:pPr>
      <w:r>
        <w:rPr>
          <w:rFonts w:ascii="Arial" w:hAnsi="Arial" w:cs="Arial"/>
          <w:lang w:val="nl-NL"/>
        </w:rPr>
        <w:t>Kwantit</w:t>
      </w:r>
      <w:r w:rsidR="002F586C" w:rsidRPr="00AA4A0B">
        <w:rPr>
          <w:rFonts w:ascii="Arial" w:hAnsi="Arial" w:cs="Arial"/>
          <w:lang w:val="nl-NL"/>
        </w:rPr>
        <w:t>atieve gegevens over de productie van organisch afval en voedselverspilling. Organisch afval werd in 4 categori</w:t>
      </w:r>
      <w:r>
        <w:rPr>
          <w:rFonts w:ascii="Arial" w:hAnsi="Arial" w:cs="Arial"/>
          <w:lang w:val="nl-NL"/>
        </w:rPr>
        <w:t>e</w:t>
      </w:r>
      <w:r w:rsidR="002F586C" w:rsidRPr="00AA4A0B">
        <w:rPr>
          <w:rFonts w:ascii="Arial" w:hAnsi="Arial" w:cs="Arial"/>
          <w:lang w:val="nl-NL"/>
        </w:rPr>
        <w:t xml:space="preserve">ën gescheiden tijdens 1 of 2 diensten en dan gewogen : </w:t>
      </w:r>
    </w:p>
    <w:p w:rsidR="0013622C" w:rsidRPr="00AA4A0B" w:rsidRDefault="00EA5C2D" w:rsidP="0096429B">
      <w:pPr>
        <w:pStyle w:val="Puce3"/>
        <w:numPr>
          <w:ilvl w:val="4"/>
          <w:numId w:val="4"/>
        </w:numPr>
        <w:ind w:right="848"/>
        <w:rPr>
          <w:rFonts w:ascii="Arial" w:hAnsi="Arial" w:cs="Arial"/>
          <w:lang w:val="nl-NL"/>
        </w:rPr>
      </w:pPr>
      <w:r>
        <w:rPr>
          <w:rFonts w:ascii="Arial" w:hAnsi="Arial" w:cs="Arial"/>
          <w:lang w:val="nl-NL"/>
        </w:rPr>
        <w:t>voor</w:t>
      </w:r>
      <w:r w:rsidR="002F586C" w:rsidRPr="00AA4A0B">
        <w:rPr>
          <w:rFonts w:ascii="Arial" w:hAnsi="Arial" w:cs="Arial"/>
          <w:lang w:val="nl-NL"/>
        </w:rPr>
        <w:t>bereidingsafval</w:t>
      </w:r>
    </w:p>
    <w:p w:rsidR="0013622C" w:rsidRPr="00AA4A0B" w:rsidRDefault="00287C07" w:rsidP="0096429B">
      <w:pPr>
        <w:pStyle w:val="Puce3"/>
        <w:numPr>
          <w:ilvl w:val="4"/>
          <w:numId w:val="4"/>
        </w:numPr>
        <w:ind w:right="848"/>
        <w:rPr>
          <w:rFonts w:ascii="Arial" w:hAnsi="Arial" w:cs="Arial"/>
          <w:lang w:val="nl-NL"/>
        </w:rPr>
      </w:pPr>
      <w:r w:rsidRPr="00AA4A0B">
        <w:rPr>
          <w:rFonts w:ascii="Arial" w:hAnsi="Arial" w:cs="Arial"/>
          <w:lang w:val="nl-NL"/>
        </w:rPr>
        <w:t>bereidingsoverschotten</w:t>
      </w:r>
    </w:p>
    <w:p w:rsidR="0013622C" w:rsidRPr="00AA4A0B" w:rsidRDefault="002F586C" w:rsidP="0096429B">
      <w:pPr>
        <w:pStyle w:val="Puce3"/>
        <w:numPr>
          <w:ilvl w:val="4"/>
          <w:numId w:val="4"/>
        </w:numPr>
        <w:ind w:right="848"/>
        <w:rPr>
          <w:rFonts w:ascii="Arial" w:hAnsi="Arial" w:cs="Arial"/>
          <w:lang w:val="nl-NL"/>
        </w:rPr>
      </w:pPr>
      <w:r w:rsidRPr="00AA4A0B">
        <w:rPr>
          <w:rFonts w:ascii="Arial" w:hAnsi="Arial" w:cs="Arial"/>
          <w:lang w:val="nl-NL"/>
        </w:rPr>
        <w:t xml:space="preserve">afval dat achterblijft op de borden </w:t>
      </w:r>
    </w:p>
    <w:p w:rsidR="00EC5CAC" w:rsidRPr="00AA4A0B" w:rsidRDefault="002F586C" w:rsidP="0096429B">
      <w:pPr>
        <w:pStyle w:val="Puce3"/>
        <w:numPr>
          <w:ilvl w:val="4"/>
          <w:numId w:val="4"/>
        </w:numPr>
        <w:ind w:right="848"/>
        <w:rPr>
          <w:rFonts w:ascii="Arial" w:hAnsi="Arial" w:cs="Arial"/>
          <w:lang w:val="nl-NL"/>
        </w:rPr>
      </w:pPr>
      <w:r w:rsidRPr="00AA4A0B">
        <w:rPr>
          <w:rFonts w:ascii="Arial" w:hAnsi="Arial" w:cs="Arial"/>
          <w:lang w:val="nl-NL"/>
        </w:rPr>
        <w:t xml:space="preserve">afval afkomstig van de voorraad </w:t>
      </w:r>
    </w:p>
    <w:p w:rsidR="00DB7D71" w:rsidRPr="00AA4A0B" w:rsidRDefault="002F586C" w:rsidP="0096429B">
      <w:pPr>
        <w:pStyle w:val="Puce3"/>
        <w:ind w:right="848"/>
        <w:rPr>
          <w:rFonts w:cs="Arial"/>
          <w:lang w:val="nl-NL"/>
        </w:rPr>
      </w:pPr>
      <w:r w:rsidRPr="00AA4A0B">
        <w:rPr>
          <w:rFonts w:ascii="Arial" w:hAnsi="Arial" w:cs="Arial"/>
          <w:lang w:val="nl-NL"/>
        </w:rPr>
        <w:t xml:space="preserve">Kwalitatieve informatie over de praktijken op het terrein op het </w:t>
      </w:r>
      <w:r w:rsidR="00AB0F8D">
        <w:rPr>
          <w:rFonts w:ascii="Arial" w:hAnsi="Arial" w:cs="Arial"/>
          <w:lang w:val="nl-NL"/>
        </w:rPr>
        <w:t>vlak</w:t>
      </w:r>
      <w:r w:rsidRPr="00AA4A0B">
        <w:rPr>
          <w:rFonts w:ascii="Arial" w:hAnsi="Arial" w:cs="Arial"/>
          <w:lang w:val="nl-NL"/>
        </w:rPr>
        <w:t xml:space="preserve"> van het beheer en de preventie van organisch afval </w:t>
      </w:r>
      <w:r w:rsidR="008066AC" w:rsidRPr="00AA4A0B">
        <w:rPr>
          <w:rFonts w:ascii="Arial" w:hAnsi="Arial" w:cs="Arial"/>
          <w:lang w:val="nl-NL"/>
        </w:rPr>
        <w:t xml:space="preserve"> </w:t>
      </w:r>
    </w:p>
    <w:p w:rsidR="00A81BF5" w:rsidRPr="00AA4A0B" w:rsidRDefault="002F586C" w:rsidP="0096429B">
      <w:pPr>
        <w:pStyle w:val="Puce3"/>
        <w:ind w:right="848"/>
        <w:rPr>
          <w:rFonts w:ascii="Arial" w:hAnsi="Arial" w:cs="Arial"/>
          <w:lang w:val="nl-NL"/>
        </w:rPr>
      </w:pPr>
      <w:r w:rsidRPr="00AA4A0B">
        <w:rPr>
          <w:rFonts w:ascii="Arial" w:hAnsi="Arial" w:cs="Arial"/>
          <w:lang w:val="nl-NL"/>
        </w:rPr>
        <w:t xml:space="preserve">Het standpunt van de restaurateurs over een selectieve inzameling van organisch afval. </w:t>
      </w:r>
    </w:p>
    <w:p w:rsidR="002D3794" w:rsidRPr="00AA4A0B" w:rsidRDefault="002F586C" w:rsidP="002D3794">
      <w:pPr>
        <w:pStyle w:val="BETitreNiveau3"/>
        <w:ind w:left="0"/>
        <w:jc w:val="both"/>
        <w:rPr>
          <w:rFonts w:asciiTheme="majorHAnsi" w:eastAsiaTheme="majorEastAsia" w:hAnsiTheme="majorHAnsi" w:cstheme="majorBidi"/>
          <w:b w:val="0"/>
          <w:color w:val="243F60" w:themeColor="accent1" w:themeShade="7F"/>
          <w:lang w:val="nl-NL"/>
        </w:rPr>
      </w:pPr>
      <w:r w:rsidRPr="00AA4A0B">
        <w:rPr>
          <w:rFonts w:asciiTheme="majorHAnsi" w:eastAsiaTheme="majorEastAsia" w:hAnsiTheme="majorHAnsi" w:cstheme="majorBidi"/>
          <w:b w:val="0"/>
          <w:color w:val="243F60" w:themeColor="accent1" w:themeShade="7F"/>
          <w:lang w:val="nl-NL"/>
        </w:rPr>
        <w:t xml:space="preserve">Schatting van de organische afvalberg en de voedselverspilling </w:t>
      </w:r>
    </w:p>
    <w:p w:rsidR="002D3794" w:rsidRPr="00AA4A0B" w:rsidRDefault="002D3794" w:rsidP="002D3794">
      <w:pPr>
        <w:rPr>
          <w:lang w:val="nl-NL"/>
        </w:rPr>
      </w:pPr>
    </w:p>
    <w:p w:rsidR="001642BD" w:rsidRPr="00AA4A0B" w:rsidRDefault="007D519D" w:rsidP="002D3794">
      <w:pPr>
        <w:rPr>
          <w:color w:val="auto"/>
          <w:lang w:val="nl-NL"/>
        </w:rPr>
      </w:pPr>
      <w:r w:rsidRPr="00AA4A0B">
        <w:rPr>
          <w:color w:val="auto"/>
          <w:lang w:val="nl-NL"/>
        </w:rPr>
        <w:t xml:space="preserve">De perceptie van de voedselverspilling verschilt van restaurateur tot restaurateur. Vandaar het belang van een gemeenschappelijke definitie. Deze studie is gebaseerd op de </w:t>
      </w:r>
      <w:r w:rsidR="00EA5C2D">
        <w:rPr>
          <w:color w:val="auto"/>
          <w:lang w:val="nl-NL"/>
        </w:rPr>
        <w:t>definitie</w:t>
      </w:r>
      <w:r w:rsidR="00EA5C2D" w:rsidRPr="00AA4A0B">
        <w:rPr>
          <w:color w:val="auto"/>
          <w:lang w:val="nl-NL"/>
        </w:rPr>
        <w:t xml:space="preserve"> </w:t>
      </w:r>
      <w:r w:rsidRPr="00AA4A0B">
        <w:rPr>
          <w:color w:val="auto"/>
          <w:lang w:val="nl-NL"/>
        </w:rPr>
        <w:t>van het WRAP waarbij in de voedselverspilling zowel vermijdbaar organisch afval (weggegooide eetbare producten)</w:t>
      </w:r>
      <w:r w:rsidR="00AA4A0B">
        <w:rPr>
          <w:color w:val="auto"/>
          <w:lang w:val="nl-NL"/>
        </w:rPr>
        <w:t xml:space="preserve"> als</w:t>
      </w:r>
      <w:r w:rsidR="00516CD3" w:rsidRPr="00AA4A0B">
        <w:rPr>
          <w:color w:val="auto"/>
          <w:lang w:val="nl-NL"/>
        </w:rPr>
        <w:t xml:space="preserve"> mogelijk vermijdbaar organisch afval (producten o</w:t>
      </w:r>
      <w:r w:rsidR="00287C07" w:rsidRPr="00AA4A0B">
        <w:rPr>
          <w:color w:val="auto"/>
          <w:lang w:val="nl-NL"/>
        </w:rPr>
        <w:t>f delen van producten die zouden</w:t>
      </w:r>
      <w:r w:rsidR="00516CD3" w:rsidRPr="00AA4A0B">
        <w:rPr>
          <w:color w:val="auto"/>
          <w:lang w:val="nl-NL"/>
        </w:rPr>
        <w:t xml:space="preserve"> kunnen worden ge</w:t>
      </w:r>
      <w:r w:rsidR="00287C07" w:rsidRPr="00AA4A0B">
        <w:rPr>
          <w:color w:val="auto"/>
          <w:lang w:val="nl-NL"/>
        </w:rPr>
        <w:t>consumeerd indien ze anders waren</w:t>
      </w:r>
      <w:r w:rsidR="00516CD3" w:rsidRPr="00AA4A0B">
        <w:rPr>
          <w:color w:val="auto"/>
          <w:lang w:val="nl-NL"/>
        </w:rPr>
        <w:t xml:space="preserve"> bereid)</w:t>
      </w:r>
      <w:r w:rsidR="004666E6">
        <w:rPr>
          <w:color w:val="auto"/>
          <w:lang w:val="nl-NL"/>
        </w:rPr>
        <w:t xml:space="preserve"> is opgenomen</w:t>
      </w:r>
      <w:r w:rsidR="00516CD3" w:rsidRPr="00AA4A0B">
        <w:rPr>
          <w:color w:val="auto"/>
          <w:lang w:val="nl-NL"/>
        </w:rPr>
        <w:t xml:space="preserve">. </w:t>
      </w:r>
    </w:p>
    <w:p w:rsidR="001642BD" w:rsidRPr="00AA4A0B" w:rsidRDefault="001642BD" w:rsidP="002D3794">
      <w:pPr>
        <w:rPr>
          <w:color w:val="auto"/>
          <w:lang w:val="nl-NL"/>
        </w:rPr>
      </w:pPr>
    </w:p>
    <w:p w:rsidR="001642BD" w:rsidRPr="00AA4A0B" w:rsidRDefault="00516CD3" w:rsidP="00C41467">
      <w:pPr>
        <w:rPr>
          <w:color w:val="auto"/>
          <w:lang w:val="nl-NL"/>
        </w:rPr>
      </w:pPr>
      <w:r w:rsidRPr="00AA4A0B">
        <w:rPr>
          <w:lang w:val="nl-NL"/>
        </w:rPr>
        <w:t>Op basis van de uitgevoerde wegingen, werd gemiddeld 220g organisch afval geproduceerd per bord, waarvan bijn</w:t>
      </w:r>
      <w:r w:rsidR="00287C07" w:rsidRPr="00AA4A0B">
        <w:rPr>
          <w:lang w:val="nl-NL"/>
        </w:rPr>
        <w:t>a</w:t>
      </w:r>
      <w:r w:rsidRPr="00AA4A0B">
        <w:rPr>
          <w:lang w:val="nl-NL"/>
        </w:rPr>
        <w:t xml:space="preserve"> 100g (43%) voedselverspilling. </w:t>
      </w:r>
    </w:p>
    <w:p w:rsidR="002D3794" w:rsidRPr="00AA4A0B" w:rsidRDefault="002D3794" w:rsidP="002D3794">
      <w:pPr>
        <w:rPr>
          <w:lang w:val="nl-NL"/>
        </w:rPr>
      </w:pPr>
    </w:p>
    <w:p w:rsidR="00EF73E0" w:rsidRPr="00AA4A0B" w:rsidRDefault="00516CD3" w:rsidP="002D3794">
      <w:pPr>
        <w:rPr>
          <w:lang w:val="nl-NL"/>
        </w:rPr>
      </w:pPr>
      <w:r w:rsidRPr="00AA4A0B">
        <w:rPr>
          <w:lang w:val="nl-NL"/>
        </w:rPr>
        <w:t>De categorie «  bereidingsafval »</w:t>
      </w:r>
      <w:r w:rsidR="002D3794" w:rsidRPr="00AA4A0B">
        <w:rPr>
          <w:lang w:val="nl-NL"/>
        </w:rPr>
        <w:t xml:space="preserve"> </w:t>
      </w:r>
      <w:r w:rsidR="00EA5C2D">
        <w:rPr>
          <w:lang w:val="nl-NL"/>
        </w:rPr>
        <w:t>vertegenwoordigt</w:t>
      </w:r>
      <w:r w:rsidR="00EA5C2D" w:rsidRPr="00AA4A0B">
        <w:rPr>
          <w:lang w:val="nl-NL"/>
        </w:rPr>
        <w:t xml:space="preserve"> </w:t>
      </w:r>
      <w:r w:rsidR="00287C07" w:rsidRPr="00AA4A0B">
        <w:rPr>
          <w:lang w:val="nl-NL"/>
        </w:rPr>
        <w:t>wat het</w:t>
      </w:r>
      <w:r w:rsidRPr="00AA4A0B">
        <w:rPr>
          <w:lang w:val="nl-NL"/>
        </w:rPr>
        <w:t xml:space="preserve"> gewicht</w:t>
      </w:r>
      <w:r w:rsidR="00287C07" w:rsidRPr="00AA4A0B">
        <w:rPr>
          <w:lang w:val="nl-NL"/>
        </w:rPr>
        <w:t xml:space="preserve"> betreft het </w:t>
      </w:r>
      <w:r w:rsidR="00EA5C2D">
        <w:rPr>
          <w:lang w:val="nl-NL"/>
        </w:rPr>
        <w:t>grootste deel van het</w:t>
      </w:r>
      <w:r w:rsidR="00EA5C2D" w:rsidRPr="00AA4A0B">
        <w:rPr>
          <w:lang w:val="nl-NL"/>
        </w:rPr>
        <w:t xml:space="preserve"> </w:t>
      </w:r>
      <w:r w:rsidR="00287C07" w:rsidRPr="00AA4A0B">
        <w:rPr>
          <w:lang w:val="nl-NL"/>
        </w:rPr>
        <w:t>organisch afval (60%) en</w:t>
      </w:r>
      <w:r w:rsidRPr="00AA4A0B">
        <w:rPr>
          <w:lang w:val="nl-NL"/>
        </w:rPr>
        <w:t xml:space="preserve"> </w:t>
      </w:r>
      <w:r w:rsidR="00EA5C2D">
        <w:rPr>
          <w:lang w:val="nl-NL"/>
        </w:rPr>
        <w:t xml:space="preserve">van de </w:t>
      </w:r>
      <w:r w:rsidRPr="00AA4A0B">
        <w:rPr>
          <w:lang w:val="nl-NL"/>
        </w:rPr>
        <w:t>voedselverspilling (42%)</w:t>
      </w:r>
      <w:r w:rsidR="00EA5C2D">
        <w:rPr>
          <w:lang w:val="nl-NL"/>
        </w:rPr>
        <w:t xml:space="preserve"> </w:t>
      </w:r>
      <w:r w:rsidRPr="00AA4A0B">
        <w:rPr>
          <w:lang w:val="nl-NL"/>
        </w:rPr>
        <w:t>(</w:t>
      </w:r>
      <w:r w:rsidR="00AB0F8D" w:rsidRPr="00AB0F8D">
        <w:rPr>
          <w:lang w:val="nl-NL"/>
        </w:rPr>
        <w:t>uitgezonderd</w:t>
      </w:r>
      <w:r w:rsidR="00AB0F8D" w:rsidRPr="00AA4A0B">
        <w:rPr>
          <w:lang w:val="nl-NL"/>
        </w:rPr>
        <w:t xml:space="preserve"> </w:t>
      </w:r>
      <w:r w:rsidRPr="00AA4A0B">
        <w:rPr>
          <w:lang w:val="nl-NL"/>
        </w:rPr>
        <w:t>afval afkomstig van de voorraad), gevol</w:t>
      </w:r>
      <w:r w:rsidR="00287C07" w:rsidRPr="00AA4A0B">
        <w:rPr>
          <w:lang w:val="nl-NL"/>
        </w:rPr>
        <w:t>g</w:t>
      </w:r>
      <w:r w:rsidRPr="00AA4A0B">
        <w:rPr>
          <w:lang w:val="nl-NL"/>
        </w:rPr>
        <w:t xml:space="preserve">d door de teruggekeerde borden die 50% van het organisch afval vertegenwoordigen en 40% van de voedselverspilling. De bereidingsoverschotten zijn met 18% van de voedselverspilling ook niet te verwaarlozen.  </w:t>
      </w:r>
    </w:p>
    <w:p w:rsidR="00EF73E0" w:rsidRPr="00AA4A0B" w:rsidRDefault="00EF73E0" w:rsidP="00E732DA">
      <w:pPr>
        <w:ind w:left="567"/>
        <w:rPr>
          <w:lang w:val="nl-NL"/>
        </w:rPr>
      </w:pPr>
    </w:p>
    <w:p w:rsidR="002D3794" w:rsidRPr="00AA4A0B" w:rsidRDefault="00E732DA" w:rsidP="00E732DA">
      <w:pPr>
        <w:ind w:left="567"/>
        <w:rPr>
          <w:b/>
          <w:highlight w:val="yellow"/>
          <w:lang w:val="nl-NL"/>
        </w:rPr>
      </w:pPr>
      <w:r>
        <w:rPr>
          <w:noProof/>
          <w:lang w:val="fr-BE" w:eastAsia="fr-BE"/>
        </w:rPr>
        <w:drawing>
          <wp:anchor distT="0" distB="0" distL="114300" distR="114300" simplePos="0" relativeHeight="251658240" behindDoc="0" locked="0" layoutInCell="1" allowOverlap="1" wp14:anchorId="39B66BD7" wp14:editId="2653DF13">
            <wp:simplePos x="0" y="0"/>
            <wp:positionH relativeFrom="column">
              <wp:posOffset>537210</wp:posOffset>
            </wp:positionH>
            <wp:positionV relativeFrom="paragraph">
              <wp:posOffset>1905</wp:posOffset>
            </wp:positionV>
            <wp:extent cx="2906395" cy="2961005"/>
            <wp:effectExtent l="0" t="0" r="27305" b="10795"/>
            <wp:wrapSquare wrapText="bothSides"/>
            <wp:docPr id="2" name="Graphique 2" title="Afbeelding 4 : Gemiddelde verdeling van bronnen van organisch afval  (in gewicht) in de 21 bezochte etablissementen (buiten de voorraa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E732DA">
        <w:rPr>
          <w:noProof/>
          <w:lang w:val="nl-NL" w:eastAsia="fr-BE"/>
        </w:rPr>
        <w:t xml:space="preserve"> </w:t>
      </w:r>
      <w:r>
        <w:rPr>
          <w:noProof/>
          <w:lang w:val="fr-BE" w:eastAsia="fr-BE"/>
        </w:rPr>
        <w:drawing>
          <wp:inline distT="0" distB="0" distL="0" distR="0" wp14:anchorId="7AA1B477" wp14:editId="28952DE5">
            <wp:extent cx="2770495" cy="2961564"/>
            <wp:effectExtent l="0" t="0" r="11430" b="1079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2496" w:rsidRPr="00AA4A0B" w:rsidRDefault="00CA2496" w:rsidP="00E732DA">
      <w:pPr>
        <w:ind w:left="567"/>
        <w:rPr>
          <w:b/>
          <w:highlight w:val="yellow"/>
          <w:lang w:val="nl-NL"/>
        </w:rPr>
      </w:pPr>
    </w:p>
    <w:p w:rsidR="002D3794" w:rsidRPr="00AA4A0B" w:rsidRDefault="00516CD3" w:rsidP="002D3794">
      <w:pPr>
        <w:rPr>
          <w:highlight w:val="yellow"/>
          <w:lang w:val="nl-NL"/>
        </w:rPr>
      </w:pPr>
      <w:r w:rsidRPr="00AA4A0B">
        <w:rPr>
          <w:lang w:val="nl-NL"/>
        </w:rPr>
        <w:t xml:space="preserve">In de 6 etablissementen waar het afval afkomstig van de voorraad werd gemeten, vertegenwoordigde dit </w:t>
      </w:r>
      <w:r w:rsidR="00A847D7" w:rsidRPr="00AA4A0B">
        <w:rPr>
          <w:lang w:val="nl-NL"/>
        </w:rPr>
        <w:t xml:space="preserve">gemiddeld minder dan </w:t>
      </w:r>
      <w:r w:rsidRPr="00AA4A0B">
        <w:rPr>
          <w:lang w:val="nl-NL"/>
        </w:rPr>
        <w:t xml:space="preserve">8% van de voedselverspilling (en 3% van het organisch afval). Deze categorie lijkt dus minder belangrijk dan de andere posten. </w:t>
      </w:r>
    </w:p>
    <w:p w:rsidR="002D3794" w:rsidRPr="00AA4A0B" w:rsidRDefault="002D3794" w:rsidP="002D3794">
      <w:pPr>
        <w:rPr>
          <w:lang w:val="nl-NL"/>
        </w:rPr>
      </w:pPr>
    </w:p>
    <w:p w:rsidR="002D3794" w:rsidRPr="00AA4A0B" w:rsidRDefault="00516CD3" w:rsidP="002D3794">
      <w:pPr>
        <w:rPr>
          <w:lang w:val="nl-NL"/>
        </w:rPr>
      </w:pPr>
      <w:r w:rsidRPr="00AA4A0B">
        <w:rPr>
          <w:lang w:val="nl-NL"/>
        </w:rPr>
        <w:t xml:space="preserve">Het </w:t>
      </w:r>
      <w:r w:rsidR="00AB0F8D">
        <w:rPr>
          <w:lang w:val="nl-NL"/>
        </w:rPr>
        <w:t>aan</w:t>
      </w:r>
      <w:r w:rsidRPr="00AA4A0B">
        <w:rPr>
          <w:lang w:val="nl-NL"/>
        </w:rPr>
        <w:t>deel van or</w:t>
      </w:r>
      <w:r w:rsidR="00A847D7" w:rsidRPr="00AA4A0B">
        <w:rPr>
          <w:lang w:val="nl-NL"/>
        </w:rPr>
        <w:t xml:space="preserve">ganisch afval in het restafval </w:t>
      </w:r>
      <w:r w:rsidRPr="00AA4A0B">
        <w:rPr>
          <w:lang w:val="nl-NL"/>
        </w:rPr>
        <w:t xml:space="preserve">varieert ook sterk. In de 11 etablissementen waarin het restafval kon worden gewogen, </w:t>
      </w:r>
      <w:r w:rsidR="00A847D7" w:rsidRPr="00AA4A0B">
        <w:rPr>
          <w:lang w:val="nl-NL"/>
        </w:rPr>
        <w:t>bestond dit</w:t>
      </w:r>
      <w:r w:rsidR="009A7125" w:rsidRPr="00AA4A0B">
        <w:rPr>
          <w:lang w:val="nl-NL"/>
        </w:rPr>
        <w:t xml:space="preserve"> gemiddeld voor 63% uit organisch afval. Dit percentage  ligt in de lijn van het visueel vastgestelde interval tijdens de campagne op het terrein (45% tot 80% voor de restaurants </w:t>
      </w:r>
      <w:r w:rsidR="00AB0F8D" w:rsidRPr="00AB0F8D">
        <w:rPr>
          <w:lang w:val="nl-NL"/>
        </w:rPr>
        <w:t>uitgezonderd</w:t>
      </w:r>
      <w:r w:rsidR="00AB0F8D" w:rsidRPr="00AA4A0B">
        <w:rPr>
          <w:lang w:val="nl-NL"/>
        </w:rPr>
        <w:t xml:space="preserve"> </w:t>
      </w:r>
      <w:r w:rsidR="00AB0F8D">
        <w:rPr>
          <w:lang w:val="nl-NL"/>
        </w:rPr>
        <w:t>sn</w:t>
      </w:r>
      <w:r w:rsidR="009A7125" w:rsidRPr="00AA4A0B">
        <w:rPr>
          <w:lang w:val="nl-NL"/>
        </w:rPr>
        <w:t xml:space="preserve">acks en fastfood). </w:t>
      </w:r>
    </w:p>
    <w:p w:rsidR="001642BD" w:rsidRPr="00AA4A0B" w:rsidRDefault="001642BD" w:rsidP="002D3794">
      <w:pPr>
        <w:rPr>
          <w:lang w:val="nl-NL"/>
        </w:rPr>
      </w:pPr>
    </w:p>
    <w:p w:rsidR="001642BD" w:rsidRPr="00AA4A0B" w:rsidRDefault="00A847D7" w:rsidP="001642BD">
      <w:pPr>
        <w:rPr>
          <w:lang w:val="nl-NL"/>
        </w:rPr>
      </w:pPr>
      <w:r w:rsidRPr="00AA4A0B">
        <w:rPr>
          <w:color w:val="auto"/>
          <w:lang w:val="nl-NL"/>
        </w:rPr>
        <w:t xml:space="preserve">De </w:t>
      </w:r>
      <w:r w:rsidR="0028290B" w:rsidRPr="00AA4A0B">
        <w:rPr>
          <w:color w:val="auto"/>
          <w:lang w:val="nl-NL"/>
        </w:rPr>
        <w:t xml:space="preserve">resultaten tussen de restaurants </w:t>
      </w:r>
      <w:r w:rsidR="00EA5C2D">
        <w:rPr>
          <w:color w:val="auto"/>
          <w:lang w:val="nl-NL"/>
        </w:rPr>
        <w:t>verschillen sterk</w:t>
      </w:r>
      <w:r w:rsidR="0028290B" w:rsidRPr="00AA4A0B">
        <w:rPr>
          <w:color w:val="auto"/>
          <w:lang w:val="nl-NL"/>
        </w:rPr>
        <w:t>. Het is te wijten aan een combinatie van factoren zo</w:t>
      </w:r>
      <w:r w:rsidR="004666E6">
        <w:rPr>
          <w:color w:val="auto"/>
          <w:lang w:val="nl-NL"/>
        </w:rPr>
        <w:t xml:space="preserve">als het </w:t>
      </w:r>
      <w:r w:rsidR="00EA5C2D">
        <w:rPr>
          <w:color w:val="auto"/>
          <w:lang w:val="nl-NL"/>
        </w:rPr>
        <w:t xml:space="preserve">tijdstip </w:t>
      </w:r>
      <w:r w:rsidR="004666E6">
        <w:rPr>
          <w:color w:val="auto"/>
          <w:lang w:val="nl-NL"/>
        </w:rPr>
        <w:t>van de metingen (</w:t>
      </w:r>
      <w:r w:rsidR="0028290B" w:rsidRPr="00AA4A0B">
        <w:rPr>
          <w:color w:val="auto"/>
          <w:lang w:val="nl-NL"/>
        </w:rPr>
        <w:t xml:space="preserve">tijdens 1 of 2 diensten, het moment van de dag, …), de werking van het restaurant (bereidingen </w:t>
      </w:r>
      <w:r w:rsidR="001A59F0">
        <w:rPr>
          <w:color w:val="auto"/>
          <w:lang w:val="nl-NL"/>
        </w:rPr>
        <w:t>voor</w:t>
      </w:r>
      <w:r w:rsidR="001A59F0" w:rsidRPr="00AA4A0B">
        <w:rPr>
          <w:color w:val="auto"/>
          <w:lang w:val="nl-NL"/>
        </w:rPr>
        <w:t xml:space="preserve"> </w:t>
      </w:r>
      <w:r w:rsidR="0028290B" w:rsidRPr="00AA4A0B">
        <w:rPr>
          <w:color w:val="auto"/>
          <w:lang w:val="nl-NL"/>
        </w:rPr>
        <w:t xml:space="preserve">verschillende diensten, gewicht van de borden, buffet, </w:t>
      </w:r>
      <w:r w:rsidR="001A59F0">
        <w:rPr>
          <w:color w:val="auto"/>
          <w:lang w:val="nl-NL"/>
        </w:rPr>
        <w:t>aantal klanten</w:t>
      </w:r>
      <w:r w:rsidR="0028290B" w:rsidRPr="00AA4A0B">
        <w:rPr>
          <w:color w:val="auto"/>
          <w:lang w:val="nl-NL"/>
        </w:rPr>
        <w:t xml:space="preserve">, …) en het soort van keuken (vegetarisch, verse producten, …). </w:t>
      </w:r>
      <w:r w:rsidR="007F28CB" w:rsidRPr="00AA4A0B">
        <w:rPr>
          <w:color w:val="auto"/>
          <w:lang w:val="nl-NL"/>
        </w:rPr>
        <w:t>Er is dus enige voorzichtigheid geboden bij de hantering van de gegevens</w:t>
      </w:r>
      <w:r w:rsidR="004666E6">
        <w:rPr>
          <w:color w:val="auto"/>
          <w:lang w:val="nl-NL"/>
        </w:rPr>
        <w:t>,</w:t>
      </w:r>
      <w:r w:rsidR="007F28CB" w:rsidRPr="00AA4A0B">
        <w:rPr>
          <w:color w:val="auto"/>
          <w:lang w:val="nl-NL"/>
        </w:rPr>
        <w:t xml:space="preserve"> want enkel de bezoeken op het terrein kunnen de bijzonderheden verklaren. Nochtans kunnen er enkele tendensen worden vastgesteld zoals een grotere productie van organisch afval in etablissementen waar een buffet wordt aangeboden, de etablissementen die met verse producten werken en veel fruit en groenten aanbieden.</w:t>
      </w:r>
    </w:p>
    <w:p w:rsidR="00A81BF5" w:rsidRPr="00AA4A0B" w:rsidRDefault="00EA587A" w:rsidP="00A81BF5">
      <w:pPr>
        <w:pStyle w:val="BETitreNiveau3"/>
        <w:ind w:left="0"/>
        <w:jc w:val="both"/>
        <w:rPr>
          <w:rFonts w:asciiTheme="majorHAnsi" w:eastAsiaTheme="majorEastAsia" w:hAnsiTheme="majorHAnsi" w:cstheme="majorBidi"/>
          <w:b w:val="0"/>
          <w:color w:val="243F60" w:themeColor="accent1" w:themeShade="7F"/>
          <w:lang w:val="nl-NL"/>
        </w:rPr>
      </w:pPr>
      <w:r w:rsidRPr="00AA4A0B">
        <w:rPr>
          <w:rFonts w:asciiTheme="majorHAnsi" w:eastAsiaTheme="majorEastAsia" w:hAnsiTheme="majorHAnsi" w:cstheme="majorBidi"/>
          <w:b w:val="0"/>
          <w:color w:val="243F60" w:themeColor="accent1" w:themeShade="7F"/>
          <w:lang w:val="nl-NL"/>
        </w:rPr>
        <w:t>Praktijken op het terrein</w:t>
      </w:r>
      <w:r w:rsidR="00A847D7" w:rsidRPr="00AA4A0B">
        <w:rPr>
          <w:rFonts w:asciiTheme="majorHAnsi" w:eastAsiaTheme="majorEastAsia" w:hAnsiTheme="majorHAnsi" w:cstheme="majorBidi"/>
          <w:b w:val="0"/>
          <w:color w:val="243F60" w:themeColor="accent1" w:themeShade="7F"/>
          <w:lang w:val="nl-NL"/>
        </w:rPr>
        <w:t xml:space="preserve"> voor de preventie en het beheer</w:t>
      </w:r>
      <w:r w:rsidRPr="00AA4A0B">
        <w:rPr>
          <w:rFonts w:asciiTheme="majorHAnsi" w:eastAsiaTheme="majorEastAsia" w:hAnsiTheme="majorHAnsi" w:cstheme="majorBidi"/>
          <w:b w:val="0"/>
          <w:color w:val="243F60" w:themeColor="accent1" w:themeShade="7F"/>
          <w:lang w:val="nl-NL"/>
        </w:rPr>
        <w:t xml:space="preserve"> van organisch afval en voedselverspilling </w:t>
      </w:r>
    </w:p>
    <w:p w:rsidR="001C3EDB" w:rsidRPr="00AA4A0B" w:rsidRDefault="001C3EDB" w:rsidP="002D3794">
      <w:pPr>
        <w:rPr>
          <w:lang w:val="nl-NL"/>
        </w:rPr>
      </w:pPr>
    </w:p>
    <w:p w:rsidR="00A15028" w:rsidRPr="00AA4A0B" w:rsidRDefault="00A847D7" w:rsidP="002D3794">
      <w:pPr>
        <w:rPr>
          <w:lang w:val="nl-NL"/>
        </w:rPr>
      </w:pPr>
      <w:r w:rsidRPr="00AA4A0B">
        <w:rPr>
          <w:lang w:val="nl-NL"/>
        </w:rPr>
        <w:t>De informatie over de pr</w:t>
      </w:r>
      <w:r w:rsidR="008A0F06" w:rsidRPr="00AA4A0B">
        <w:rPr>
          <w:lang w:val="nl-NL"/>
        </w:rPr>
        <w:t xml:space="preserve">aktijken i.v.m. voedselverspilling van de 22 restaurateurs van de bezochte etablissementen werden verzameld in een gids van goede praktijken. De gids bevat ook enkele goede praktijken uit de literatuur. Deze werd verstuurd naar alle etablissementen die aan deze studie hebben deelgenomen. </w:t>
      </w:r>
    </w:p>
    <w:p w:rsidR="000035F2" w:rsidRPr="00AA4A0B" w:rsidRDefault="004D431C" w:rsidP="002107D9">
      <w:pPr>
        <w:pStyle w:val="BETitreNiveau3"/>
        <w:ind w:left="0"/>
        <w:jc w:val="both"/>
        <w:rPr>
          <w:rFonts w:asciiTheme="majorHAnsi" w:eastAsiaTheme="majorEastAsia" w:hAnsiTheme="majorHAnsi" w:cstheme="majorBidi"/>
          <w:b w:val="0"/>
          <w:color w:val="243F60" w:themeColor="accent1" w:themeShade="7F"/>
          <w:lang w:val="nl-NL"/>
        </w:rPr>
      </w:pPr>
      <w:r w:rsidRPr="00AA4A0B">
        <w:rPr>
          <w:noProof/>
          <w:lang w:val="nl-NL" w:eastAsia="fr-BE"/>
        </w:rPr>
        <w:t xml:space="preserve"> </w:t>
      </w:r>
      <w:r w:rsidR="008A0F06" w:rsidRPr="00AA4A0B">
        <w:rPr>
          <w:rFonts w:asciiTheme="majorHAnsi" w:eastAsiaTheme="majorEastAsia" w:hAnsiTheme="majorHAnsi" w:cstheme="majorBidi"/>
          <w:b w:val="0"/>
          <w:color w:val="243F60" w:themeColor="accent1" w:themeShade="7F"/>
          <w:lang w:val="nl-NL"/>
        </w:rPr>
        <w:t xml:space="preserve">Het standpunt van de restaurateurs over een selectieve inzameling van organisch afval </w:t>
      </w:r>
    </w:p>
    <w:p w:rsidR="002107D9" w:rsidRPr="00AA4A0B" w:rsidRDefault="002107D9" w:rsidP="00113598">
      <w:pPr>
        <w:rPr>
          <w:lang w:val="nl-NL"/>
        </w:rPr>
      </w:pPr>
    </w:p>
    <w:p w:rsidR="001031D0" w:rsidRPr="00AA4A0B" w:rsidRDefault="008A0F06" w:rsidP="00241A58">
      <w:pPr>
        <w:rPr>
          <w:lang w:val="nl-NL"/>
        </w:rPr>
      </w:pPr>
      <w:r w:rsidRPr="00AA4A0B">
        <w:rPr>
          <w:lang w:val="nl-NL"/>
        </w:rPr>
        <w:t xml:space="preserve">In het kader van een eventuele selectieve inzameling van organisch afval van de sector werden de restaurateurs over de kwestie bevraagd. </w:t>
      </w:r>
      <w:r w:rsidR="00A847D7" w:rsidRPr="00AA4A0B">
        <w:rPr>
          <w:lang w:val="nl-NL"/>
        </w:rPr>
        <w:t>De obstak</w:t>
      </w:r>
      <w:r w:rsidRPr="00AA4A0B">
        <w:rPr>
          <w:lang w:val="nl-NL"/>
        </w:rPr>
        <w:t xml:space="preserve">els die vermeld werden voor de invoering van een selectieve inzameling van organisch afval waren een gebrek aan ruimte in de keuken, de geurhinder, </w:t>
      </w:r>
      <w:r w:rsidR="001031D0" w:rsidRPr="00AA4A0B">
        <w:rPr>
          <w:lang w:val="nl-NL"/>
        </w:rPr>
        <w:t>het aantrekken van schadelijke dieren en de bijkomende kosten (vergoeding voor de ophaling, tijdverlies voor het personeel). Om de invoering van een dergelijke inzameling aan te moedigen</w:t>
      </w:r>
      <w:r w:rsidR="004666E6">
        <w:rPr>
          <w:lang w:val="nl-NL"/>
        </w:rPr>
        <w:t>,</w:t>
      </w:r>
      <w:r w:rsidR="001031D0" w:rsidRPr="00AA4A0B">
        <w:rPr>
          <w:lang w:val="nl-NL"/>
        </w:rPr>
        <w:t xml:space="preserve"> is er eerst en vooral een stimuleringsmaatregel (financiële steun) of </w:t>
      </w:r>
      <w:r w:rsidR="001031D0" w:rsidRPr="00AA4A0B">
        <w:rPr>
          <w:lang w:val="nl-NL"/>
        </w:rPr>
        <w:lastRenderedPageBreak/>
        <w:t xml:space="preserve">reglementaire maatregel (zoals de verplichting om te sorteren) nodig en de frequentie van de ophaling moet worden verhoogd omwille van de hygiëne en om geurhinder te voorkomen. In het ideale geval </w:t>
      </w:r>
      <w:r w:rsidR="00F15E00" w:rsidRPr="00AA4A0B">
        <w:rPr>
          <w:lang w:val="nl-NL"/>
        </w:rPr>
        <w:t>zou</w:t>
      </w:r>
      <w:r w:rsidR="001031D0" w:rsidRPr="00AA4A0B">
        <w:rPr>
          <w:lang w:val="nl-NL"/>
        </w:rPr>
        <w:t xml:space="preserve"> deze nieuwe ophaling geen meerkost</w:t>
      </w:r>
      <w:r w:rsidR="00F15E00">
        <w:rPr>
          <w:lang w:val="nl-NL"/>
        </w:rPr>
        <w:t>en</w:t>
      </w:r>
      <w:r w:rsidR="001031D0" w:rsidRPr="00AA4A0B">
        <w:rPr>
          <w:lang w:val="nl-NL"/>
        </w:rPr>
        <w:t xml:space="preserve"> voor de restaurateurs mogen meebrengen. Ten slotte moeten de restaurateur</w:t>
      </w:r>
      <w:r w:rsidR="00A847D7" w:rsidRPr="00AA4A0B">
        <w:rPr>
          <w:lang w:val="nl-NL"/>
        </w:rPr>
        <w:t xml:space="preserve">s over aangepaste </w:t>
      </w:r>
      <w:r w:rsidR="00F15E00">
        <w:rPr>
          <w:lang w:val="nl-NL"/>
        </w:rPr>
        <w:t xml:space="preserve">recipiënten </w:t>
      </w:r>
      <w:r w:rsidR="00A847D7" w:rsidRPr="00AA4A0B">
        <w:rPr>
          <w:lang w:val="nl-NL"/>
        </w:rPr>
        <w:t>(bak, z</w:t>
      </w:r>
      <w:r w:rsidR="001031D0" w:rsidRPr="00AA4A0B">
        <w:rPr>
          <w:lang w:val="nl-NL"/>
        </w:rPr>
        <w:t xml:space="preserve">ak, collectieve container, enz. ) beschikken voor dit soort van afval. </w:t>
      </w:r>
    </w:p>
    <w:p w:rsidR="001031D0" w:rsidRDefault="001031D0" w:rsidP="00241A58">
      <w:pPr>
        <w:rPr>
          <w:lang w:val="nl-NL"/>
        </w:rPr>
      </w:pPr>
    </w:p>
    <w:sectPr w:rsidR="001031D0" w:rsidSect="00F64126">
      <w:headerReference w:type="default" r:id="rId15"/>
      <w:footerReference w:type="default" r:id="rId16"/>
      <w:headerReference w:type="first" r:id="rId17"/>
      <w:footerReference w:type="first" r:id="rId18"/>
      <w:pgSz w:w="11906" w:h="16838"/>
      <w:pgMar w:top="1106" w:right="851" w:bottom="1021" w:left="851"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D0" w:rsidRDefault="00BC22D0">
      <w:r>
        <w:separator/>
      </w:r>
    </w:p>
  </w:endnote>
  <w:endnote w:type="continuationSeparator" w:id="0">
    <w:p w:rsidR="00BC22D0" w:rsidRDefault="00BC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4" w:rsidRPr="00F64126" w:rsidRDefault="002D3794" w:rsidP="008D0D5B">
    <w:pPr>
      <w:pStyle w:val="Pieddepage"/>
      <w:pBdr>
        <w:top w:val="single" w:sz="2" w:space="2" w:color="auto"/>
      </w:pBdr>
      <w:jc w:val="center"/>
      <w:rPr>
        <w:sz w:val="12"/>
        <w:szCs w:val="12"/>
        <w:lang w:val="nl-NL"/>
      </w:rPr>
    </w:pPr>
    <w:r>
      <w:rPr>
        <w:noProof/>
        <w:lang w:val="fr-BE" w:eastAsia="fr-BE"/>
      </w:rPr>
      <w:drawing>
        <wp:anchor distT="0" distB="0" distL="114300" distR="114300" simplePos="0" relativeHeight="251677696" behindDoc="0" locked="0" layoutInCell="1" allowOverlap="1" wp14:anchorId="1D243982" wp14:editId="11BEF829">
          <wp:simplePos x="0" y="0"/>
          <wp:positionH relativeFrom="column">
            <wp:posOffset>882650</wp:posOffset>
          </wp:positionH>
          <wp:positionV relativeFrom="paragraph">
            <wp:posOffset>74295</wp:posOffset>
          </wp:positionV>
          <wp:extent cx="334645" cy="334645"/>
          <wp:effectExtent l="0" t="0" r="8255" b="8255"/>
          <wp:wrapNone/>
          <wp:docPr id="22" name="Picture 2" descr="ar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anchor>
      </w:drawing>
    </w:r>
    <w:r w:rsidR="00F64126" w:rsidRPr="00F64126">
      <w:rPr>
        <w:sz w:val="12"/>
        <w:szCs w:val="12"/>
        <w:lang w:val="nl-NL"/>
      </w:rPr>
      <w:t>PAGINA</w:t>
    </w:r>
    <w:r w:rsidRPr="00F64126">
      <w:rPr>
        <w:sz w:val="12"/>
        <w:szCs w:val="12"/>
        <w:lang w:val="nl-NL"/>
      </w:rPr>
      <w:t xml:space="preserve"> </w:t>
    </w:r>
    <w:r w:rsidRPr="00AE46B2">
      <w:rPr>
        <w:sz w:val="12"/>
        <w:szCs w:val="12"/>
      </w:rPr>
      <w:fldChar w:fldCharType="begin"/>
    </w:r>
    <w:r w:rsidRPr="00F64126">
      <w:rPr>
        <w:sz w:val="12"/>
        <w:szCs w:val="12"/>
        <w:lang w:val="nl-NL"/>
      </w:rPr>
      <w:instrText xml:space="preserve"> PAGE </w:instrText>
    </w:r>
    <w:r w:rsidRPr="00AE46B2">
      <w:rPr>
        <w:sz w:val="12"/>
        <w:szCs w:val="12"/>
      </w:rPr>
      <w:fldChar w:fldCharType="separate"/>
    </w:r>
    <w:r w:rsidR="004B4B31">
      <w:rPr>
        <w:noProof/>
        <w:sz w:val="12"/>
        <w:szCs w:val="12"/>
        <w:lang w:val="nl-NL"/>
      </w:rPr>
      <w:t>1</w:t>
    </w:r>
    <w:r w:rsidRPr="00AE46B2">
      <w:rPr>
        <w:sz w:val="12"/>
        <w:szCs w:val="12"/>
      </w:rPr>
      <w:fldChar w:fldCharType="end"/>
    </w:r>
    <w:r w:rsidR="00F64126" w:rsidRPr="00F64126">
      <w:rPr>
        <w:sz w:val="12"/>
        <w:szCs w:val="12"/>
        <w:lang w:val="nl-NL"/>
      </w:rPr>
      <w:t xml:space="preserve"> VAN</w:t>
    </w:r>
    <w:r w:rsidRPr="00F64126">
      <w:rPr>
        <w:sz w:val="12"/>
        <w:szCs w:val="12"/>
        <w:lang w:val="nl-NL"/>
      </w:rPr>
      <w:t xml:space="preserve"> </w:t>
    </w:r>
    <w:r w:rsidRPr="00AE46B2">
      <w:rPr>
        <w:sz w:val="12"/>
        <w:szCs w:val="12"/>
      </w:rPr>
      <w:fldChar w:fldCharType="begin"/>
    </w:r>
    <w:r w:rsidRPr="00F64126">
      <w:rPr>
        <w:sz w:val="12"/>
        <w:szCs w:val="12"/>
        <w:lang w:val="nl-NL"/>
      </w:rPr>
      <w:instrText xml:space="preserve"> NUMPAGES </w:instrText>
    </w:r>
    <w:r w:rsidRPr="00AE46B2">
      <w:rPr>
        <w:sz w:val="12"/>
        <w:szCs w:val="12"/>
      </w:rPr>
      <w:fldChar w:fldCharType="separate"/>
    </w:r>
    <w:r w:rsidR="004B4B31">
      <w:rPr>
        <w:noProof/>
        <w:sz w:val="12"/>
        <w:szCs w:val="12"/>
        <w:lang w:val="nl-NL"/>
      </w:rPr>
      <w:t>6</w:t>
    </w:r>
    <w:r w:rsidRPr="00AE46B2">
      <w:rPr>
        <w:sz w:val="12"/>
        <w:szCs w:val="12"/>
      </w:rPr>
      <w:fldChar w:fldCharType="end"/>
    </w:r>
    <w:r w:rsidRPr="00F64126">
      <w:rPr>
        <w:sz w:val="12"/>
        <w:szCs w:val="12"/>
        <w:lang w:val="nl-NL"/>
      </w:rPr>
      <w:t xml:space="preserve">  – </w:t>
    </w:r>
    <w:r w:rsidR="00F64126" w:rsidRPr="00F64126">
      <w:rPr>
        <w:sz w:val="12"/>
        <w:szCs w:val="12"/>
        <w:lang w:val="nl-NL"/>
      </w:rPr>
      <w:t>Het afval van de horecasector</w:t>
    </w:r>
    <w:r w:rsidRPr="00F64126">
      <w:rPr>
        <w:sz w:val="12"/>
        <w:szCs w:val="12"/>
        <w:lang w:val="nl-NL"/>
      </w:rPr>
      <w:t xml:space="preserve"> - </w:t>
    </w:r>
    <w:r>
      <w:rPr>
        <w:sz w:val="12"/>
        <w:szCs w:val="12"/>
      </w:rPr>
      <w:fldChar w:fldCharType="begin"/>
    </w:r>
    <w:r>
      <w:rPr>
        <w:sz w:val="12"/>
        <w:szCs w:val="12"/>
      </w:rPr>
      <w:instrText xml:space="preserve"> DATE \@ "dd/MM/yyyy" </w:instrText>
    </w:r>
    <w:r>
      <w:rPr>
        <w:sz w:val="12"/>
        <w:szCs w:val="12"/>
      </w:rPr>
      <w:fldChar w:fldCharType="separate"/>
    </w:r>
    <w:r w:rsidR="007A4CBA">
      <w:rPr>
        <w:noProof/>
        <w:sz w:val="12"/>
        <w:szCs w:val="12"/>
      </w:rPr>
      <w:t>15/06/2015</w:t>
    </w:r>
    <w:r>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4" w:rsidRPr="00F64126" w:rsidRDefault="002D3794" w:rsidP="00EF2815">
    <w:pPr>
      <w:pStyle w:val="Pieddepage"/>
      <w:pBdr>
        <w:top w:val="single" w:sz="2" w:space="1" w:color="auto"/>
      </w:pBdr>
      <w:jc w:val="center"/>
      <w:rPr>
        <w:sz w:val="12"/>
        <w:szCs w:val="12"/>
        <w:lang w:val="nl-NL"/>
      </w:rPr>
    </w:pPr>
    <w:r>
      <w:rPr>
        <w:noProof/>
        <w:lang w:val="fr-BE" w:eastAsia="fr-BE"/>
      </w:rPr>
      <w:drawing>
        <wp:anchor distT="0" distB="0" distL="114300" distR="114300" simplePos="0" relativeHeight="251675648" behindDoc="0" locked="0" layoutInCell="1" allowOverlap="1" wp14:anchorId="2CCF4C63" wp14:editId="27B24C1B">
          <wp:simplePos x="0" y="0"/>
          <wp:positionH relativeFrom="column">
            <wp:posOffset>882650</wp:posOffset>
          </wp:positionH>
          <wp:positionV relativeFrom="paragraph">
            <wp:posOffset>74295</wp:posOffset>
          </wp:positionV>
          <wp:extent cx="334645" cy="334645"/>
          <wp:effectExtent l="0" t="0" r="8255" b="8255"/>
          <wp:wrapNone/>
          <wp:docPr id="24" name="Picture 40" descr="ar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anchor>
      </w:drawing>
    </w:r>
    <w:r w:rsidRPr="00F64126">
      <w:rPr>
        <w:sz w:val="12"/>
        <w:szCs w:val="12"/>
        <w:lang w:val="nl-NL"/>
      </w:rPr>
      <w:t xml:space="preserve">PAGE </w:t>
    </w:r>
    <w:r w:rsidRPr="00AE46B2">
      <w:rPr>
        <w:sz w:val="12"/>
        <w:szCs w:val="12"/>
      </w:rPr>
      <w:fldChar w:fldCharType="begin"/>
    </w:r>
    <w:r w:rsidRPr="00F64126">
      <w:rPr>
        <w:sz w:val="12"/>
        <w:szCs w:val="12"/>
        <w:lang w:val="nl-NL"/>
      </w:rPr>
      <w:instrText xml:space="preserve"> PAGE </w:instrText>
    </w:r>
    <w:r w:rsidRPr="00AE46B2">
      <w:rPr>
        <w:sz w:val="12"/>
        <w:szCs w:val="12"/>
      </w:rPr>
      <w:fldChar w:fldCharType="separate"/>
    </w:r>
    <w:r w:rsidR="00F64126">
      <w:rPr>
        <w:noProof/>
        <w:sz w:val="12"/>
        <w:szCs w:val="12"/>
        <w:lang w:val="nl-NL"/>
      </w:rPr>
      <w:t>1</w:t>
    </w:r>
    <w:r w:rsidRPr="00AE46B2">
      <w:rPr>
        <w:sz w:val="12"/>
        <w:szCs w:val="12"/>
      </w:rPr>
      <w:fldChar w:fldCharType="end"/>
    </w:r>
    <w:r w:rsidR="00F64126" w:rsidRPr="00F64126">
      <w:rPr>
        <w:sz w:val="12"/>
        <w:szCs w:val="12"/>
        <w:lang w:val="nl-NL"/>
      </w:rPr>
      <w:t xml:space="preserve"> VAN</w:t>
    </w:r>
    <w:r w:rsidRPr="00F64126">
      <w:rPr>
        <w:sz w:val="12"/>
        <w:szCs w:val="12"/>
        <w:lang w:val="nl-NL"/>
      </w:rPr>
      <w:t xml:space="preserve"> </w:t>
    </w:r>
    <w:r w:rsidRPr="00AE46B2">
      <w:rPr>
        <w:sz w:val="12"/>
        <w:szCs w:val="12"/>
      </w:rPr>
      <w:fldChar w:fldCharType="begin"/>
    </w:r>
    <w:r w:rsidRPr="00F64126">
      <w:rPr>
        <w:sz w:val="12"/>
        <w:szCs w:val="12"/>
        <w:lang w:val="nl-NL"/>
      </w:rPr>
      <w:instrText xml:space="preserve"> NUMPAGES </w:instrText>
    </w:r>
    <w:r w:rsidRPr="00AE46B2">
      <w:rPr>
        <w:sz w:val="12"/>
        <w:szCs w:val="12"/>
      </w:rPr>
      <w:fldChar w:fldCharType="separate"/>
    </w:r>
    <w:r w:rsidR="00F64126">
      <w:rPr>
        <w:noProof/>
        <w:sz w:val="12"/>
        <w:szCs w:val="12"/>
        <w:lang w:val="nl-NL"/>
      </w:rPr>
      <w:t>8</w:t>
    </w:r>
    <w:r w:rsidRPr="00AE46B2">
      <w:rPr>
        <w:sz w:val="12"/>
        <w:szCs w:val="12"/>
      </w:rPr>
      <w:fldChar w:fldCharType="end"/>
    </w:r>
    <w:r w:rsidRPr="00F64126">
      <w:rPr>
        <w:sz w:val="12"/>
        <w:szCs w:val="12"/>
        <w:lang w:val="nl-NL"/>
      </w:rPr>
      <w:t xml:space="preserve">  – </w:t>
    </w:r>
    <w:r w:rsidR="00F64126">
      <w:rPr>
        <w:sz w:val="12"/>
        <w:szCs w:val="12"/>
        <w:lang w:val="nl-NL"/>
      </w:rPr>
      <w:t>Het afval van de horecasector</w:t>
    </w:r>
    <w:r w:rsidRPr="00F64126">
      <w:rPr>
        <w:sz w:val="12"/>
        <w:szCs w:val="12"/>
        <w:lang w:val="nl-NL"/>
      </w:rPr>
      <w:t xml:space="preserve"> - </w:t>
    </w:r>
    <w:r>
      <w:rPr>
        <w:sz w:val="12"/>
        <w:szCs w:val="12"/>
      </w:rPr>
      <w:fldChar w:fldCharType="begin"/>
    </w:r>
    <w:r>
      <w:rPr>
        <w:sz w:val="12"/>
        <w:szCs w:val="12"/>
      </w:rPr>
      <w:instrText xml:space="preserve"> DATE \@ "dd/MM/yyyy" </w:instrText>
    </w:r>
    <w:r>
      <w:rPr>
        <w:sz w:val="12"/>
        <w:szCs w:val="12"/>
      </w:rPr>
      <w:fldChar w:fldCharType="separate"/>
    </w:r>
    <w:r w:rsidR="007A4CBA">
      <w:rPr>
        <w:noProof/>
        <w:sz w:val="12"/>
        <w:szCs w:val="12"/>
      </w:rPr>
      <w:t>15/06/2015</w:t>
    </w:r>
    <w:r>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D0" w:rsidRDefault="00BC22D0">
      <w:r>
        <w:separator/>
      </w:r>
    </w:p>
  </w:footnote>
  <w:footnote w:type="continuationSeparator" w:id="0">
    <w:p w:rsidR="00BC22D0" w:rsidRDefault="00BC22D0">
      <w:r>
        <w:continuationSeparator/>
      </w:r>
    </w:p>
  </w:footnote>
  <w:footnote w:id="1">
    <w:p w:rsidR="00044750" w:rsidRPr="009C2498" w:rsidRDefault="00044750" w:rsidP="00044750">
      <w:pPr>
        <w:pStyle w:val="Notedebasdepage"/>
        <w:rPr>
          <w:lang w:val="nl-NL"/>
        </w:rPr>
      </w:pPr>
      <w:r>
        <w:rPr>
          <w:rStyle w:val="Appelnotedebasdep"/>
        </w:rPr>
        <w:footnoteRef/>
      </w:r>
      <w:r w:rsidR="00BD0D48" w:rsidRPr="009C2498">
        <w:rPr>
          <w:lang w:val="nl-NL"/>
        </w:rPr>
        <w:t xml:space="preserve"> Bron</w:t>
      </w:r>
      <w:r w:rsidRPr="009C2498">
        <w:rPr>
          <w:lang w:val="nl-NL"/>
        </w:rPr>
        <w:t xml:space="preserve"> : </w:t>
      </w:r>
      <w:r w:rsidR="0081342C">
        <w:rPr>
          <w:lang w:val="nl-NL"/>
        </w:rPr>
        <w:t>FOD</w:t>
      </w:r>
      <w:r w:rsidRPr="009C2498">
        <w:rPr>
          <w:lang w:val="nl-NL"/>
        </w:rPr>
        <w:t xml:space="preserve"> Economie – </w:t>
      </w:r>
      <w:r w:rsidR="009C2498" w:rsidRPr="009C2498">
        <w:rPr>
          <w:lang w:val="nl-NL"/>
        </w:rPr>
        <w:t>Rekeningen van de btw, jaar</w:t>
      </w:r>
      <w:r w:rsidRPr="009C2498">
        <w:rPr>
          <w:lang w:val="nl-NL"/>
        </w:rPr>
        <w:t xml:space="preserve"> 2009 &amp; 2010</w:t>
      </w:r>
    </w:p>
  </w:footnote>
  <w:footnote w:id="2">
    <w:p w:rsidR="009C2498" w:rsidRPr="009C2498" w:rsidRDefault="00044750" w:rsidP="009C2498">
      <w:pPr>
        <w:pStyle w:val="Notedebasdepage"/>
        <w:rPr>
          <w:rStyle w:val="Lienhypertexte"/>
          <w:lang w:val="nl-NL"/>
        </w:rPr>
      </w:pPr>
      <w:r>
        <w:rPr>
          <w:rStyle w:val="Appelnotedebasdep"/>
        </w:rPr>
        <w:footnoteRef/>
      </w:r>
      <w:r w:rsidR="009C2498" w:rsidRPr="009C2498">
        <w:rPr>
          <w:lang w:val="nl-NL"/>
        </w:rPr>
        <w:t xml:space="preserve"> Project </w:t>
      </w:r>
      <w:proofErr w:type="spellStart"/>
      <w:r w:rsidR="009C2498" w:rsidRPr="009C2498">
        <w:rPr>
          <w:lang w:val="nl-NL"/>
        </w:rPr>
        <w:t>Interreg</w:t>
      </w:r>
      <w:proofErr w:type="spellEnd"/>
      <w:r w:rsidR="009C2498" w:rsidRPr="009C2498">
        <w:rPr>
          <w:lang w:val="nl-NL"/>
        </w:rPr>
        <w:t xml:space="preserve"> IVB </w:t>
      </w:r>
      <w:proofErr w:type="spellStart"/>
      <w:r w:rsidR="009C2498" w:rsidRPr="009C2498">
        <w:rPr>
          <w:lang w:val="nl-NL"/>
        </w:rPr>
        <w:t>GreenCook</w:t>
      </w:r>
      <w:proofErr w:type="spellEnd"/>
      <w:r w:rsidR="009C2498" w:rsidRPr="009C2498">
        <w:rPr>
          <w:lang w:val="nl-NL"/>
        </w:rPr>
        <w:t xml:space="preserve"> « Naar een geïntegreerd en duurzaam voedselbeheer ». http://www.green-cook.org/</w:t>
      </w:r>
    </w:p>
    <w:p w:rsidR="009C2498" w:rsidRPr="009C2498" w:rsidRDefault="009C2498" w:rsidP="00044750">
      <w:pPr>
        <w:pStyle w:val="Notedebasdepage"/>
        <w:rPr>
          <w:rStyle w:val="Lienhypertexte"/>
          <w:lang w:val="nl-NL"/>
        </w:rPr>
      </w:pPr>
    </w:p>
    <w:p w:rsidR="009C2498" w:rsidRPr="009C2498" w:rsidRDefault="009C2498" w:rsidP="00044750">
      <w:pPr>
        <w:pStyle w:val="Notedebasdepage"/>
        <w:rPr>
          <w:rStyle w:val="Lienhypertexte"/>
          <w:lang w:val="nl-NL"/>
        </w:rPr>
      </w:pPr>
    </w:p>
    <w:p w:rsidR="009C2498" w:rsidRPr="00F42024" w:rsidRDefault="009C2498" w:rsidP="00044750">
      <w:pPr>
        <w:pStyle w:val="Notedebasdepage"/>
      </w:pPr>
      <w:r>
        <w:rPr>
          <w:noProof/>
          <w:lang w:val="fr-BE" w:eastAsia="fr-BE"/>
        </w:rPr>
        <w:drawing>
          <wp:inline distT="0" distB="0" distL="0" distR="0" wp14:anchorId="6B16CBB2" wp14:editId="64914ECB">
            <wp:extent cx="2343150" cy="800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p>
  </w:footnote>
  <w:footnote w:id="3">
    <w:p w:rsidR="007804FC" w:rsidRPr="00F64126" w:rsidRDefault="007804FC" w:rsidP="007804FC">
      <w:pPr>
        <w:pStyle w:val="Notedebasdepage"/>
        <w:rPr>
          <w:lang w:val="nl-NL"/>
        </w:rPr>
      </w:pPr>
      <w:r>
        <w:rPr>
          <w:rStyle w:val="Appelnotedebasdep"/>
        </w:rPr>
        <w:footnoteRef/>
      </w:r>
      <w:r w:rsidRPr="00F64126">
        <w:rPr>
          <w:lang w:val="nl-NL"/>
        </w:rPr>
        <w:t xml:space="preserve"> </w:t>
      </w:r>
      <w:r w:rsidR="00F64126">
        <w:rPr>
          <w:lang w:val="nl-NL"/>
        </w:rPr>
        <w:t>Op</w:t>
      </w:r>
      <w:r w:rsidR="00F64126" w:rsidRPr="00F64126">
        <w:rPr>
          <w:lang w:val="nl-NL"/>
        </w:rPr>
        <w:t xml:space="preserve"> basis van een onderhoud met Net Brussel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88" w:rsidRDefault="00023A88">
    <w:pPr>
      <w:pStyle w:val="En-tte"/>
    </w:pPr>
    <w:r>
      <w:rPr>
        <w:noProof/>
        <w:lang w:val="fr-BE" w:eastAsia="fr-BE"/>
      </w:rPr>
      <w:drawing>
        <wp:inline distT="0" distB="0" distL="0" distR="0" wp14:anchorId="5B76F4A0" wp14:editId="7D937291">
          <wp:extent cx="5972810" cy="325755"/>
          <wp:effectExtent l="0" t="0" r="8890" b="0"/>
          <wp:docPr id="21" name="Image 2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810" cy="3257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4" w:rsidRPr="00C56A25" w:rsidRDefault="00C56A25" w:rsidP="00C56A25">
    <w:pPr>
      <w:pStyle w:val="En-tte"/>
    </w:pPr>
    <w:r>
      <w:rPr>
        <w:noProof/>
        <w:lang w:val="fr-BE" w:eastAsia="fr-BE"/>
      </w:rPr>
      <w:drawing>
        <wp:inline distT="0" distB="0" distL="0" distR="0" wp14:anchorId="06EBBC92" wp14:editId="1CADE191">
          <wp:extent cx="5972810" cy="1168400"/>
          <wp:effectExtent l="0" t="0" r="8890" b="0"/>
          <wp:docPr id="23" name="Image 23"/>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810" cy="11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nsid w:val="0BEC050B"/>
    <w:multiLevelType w:val="hybridMultilevel"/>
    <w:tmpl w:val="49E8AE7C"/>
    <w:lvl w:ilvl="0" w:tplc="786C3F1A">
      <w:start w:val="1"/>
      <w:numFmt w:val="bullet"/>
      <w:pStyle w:val="Puce2"/>
      <w:lvlText w:val=""/>
      <w:lvlJc w:val="left"/>
      <w:pPr>
        <w:tabs>
          <w:tab w:val="num" w:pos="1134"/>
        </w:tabs>
        <w:ind w:left="1134" w:hanging="283"/>
      </w:pPr>
      <w:rPr>
        <w:rFonts w:ascii="Wingdings" w:hAnsi="Wingdings" w:cs="Wingdings" w:hint="default"/>
        <w:b/>
        <w:bCs/>
        <w:i w:val="0"/>
        <w:iCs w:val="0"/>
        <w:color w:val="99BA2D"/>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8397982"/>
    <w:multiLevelType w:val="hybridMultilevel"/>
    <w:tmpl w:val="A7B430F2"/>
    <w:lvl w:ilvl="0" w:tplc="080C000B">
      <w:start w:val="1"/>
      <w:numFmt w:val="bullet"/>
      <w:lvlText w:val=""/>
      <w:lvlJc w:val="left"/>
      <w:pPr>
        <w:ind w:left="1211" w:hanging="360"/>
      </w:pPr>
      <w:rPr>
        <w:rFonts w:ascii="Wingdings" w:hAnsi="Wingdings"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
    <w:nsid w:val="1BC74759"/>
    <w:multiLevelType w:val="hybridMultilevel"/>
    <w:tmpl w:val="602AA202"/>
    <w:lvl w:ilvl="0" w:tplc="03BC8C22">
      <w:start w:val="31"/>
      <w:numFmt w:val="bullet"/>
      <w:lvlText w:val="-"/>
      <w:lvlJc w:val="left"/>
      <w:pPr>
        <w:ind w:left="1211" w:hanging="360"/>
      </w:pPr>
      <w:rPr>
        <w:rFonts w:ascii="Arial" w:eastAsia="Times" w:hAnsi="Arial" w:cs="Arial" w:hint="default"/>
      </w:rPr>
    </w:lvl>
    <w:lvl w:ilvl="1" w:tplc="080C0003">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nsid w:val="337C5C72"/>
    <w:multiLevelType w:val="hybridMultilevel"/>
    <w:tmpl w:val="72520CD8"/>
    <w:lvl w:ilvl="0" w:tplc="C44C3E42">
      <w:numFmt w:val="bullet"/>
      <w:lvlText w:val="-"/>
      <w:lvlJc w:val="left"/>
      <w:pPr>
        <w:tabs>
          <w:tab w:val="num" w:pos="1276"/>
        </w:tabs>
        <w:ind w:left="1276" w:hanging="283"/>
      </w:pPr>
      <w:rPr>
        <w:rFonts w:ascii="Verdana" w:eastAsia="Times New Roman" w:hAnsi="Verdana" w:hint="default"/>
        <w:b/>
        <w:bCs/>
        <w:i w:val="0"/>
        <w:iCs w:val="0"/>
        <w:color w:val="1868B1"/>
        <w:sz w:val="18"/>
        <w:szCs w:val="18"/>
        <w:vertAlign w:val="baseline"/>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
    <w:nsid w:val="39E016AF"/>
    <w:multiLevelType w:val="multilevel"/>
    <w:tmpl w:val="D0DC3504"/>
    <w:lvl w:ilvl="0">
      <w:start w:val="1"/>
      <w:numFmt w:val="bullet"/>
      <w:pStyle w:val="Puce3"/>
      <w:lvlText w:val=""/>
      <w:lvlJc w:val="left"/>
      <w:pPr>
        <w:tabs>
          <w:tab w:val="num" w:pos="1644"/>
        </w:tabs>
        <w:ind w:left="1644" w:hanging="283"/>
      </w:pPr>
      <w:rPr>
        <w:rFonts w:ascii="Symbol" w:hAnsi="Symbol" w:cs="Symbol" w:hint="default"/>
        <w:b/>
        <w:bCs/>
        <w:i w:val="0"/>
        <w:iCs w:val="0"/>
        <w:color w:val="auto"/>
        <w:sz w:val="20"/>
        <w:szCs w:val="20"/>
      </w:rPr>
    </w:lvl>
    <w:lvl w:ilvl="1">
      <w:start w:val="1"/>
      <w:numFmt w:val="bullet"/>
      <w:lvlText w:val=""/>
      <w:lvlJc w:val="left"/>
      <w:pPr>
        <w:tabs>
          <w:tab w:val="num" w:pos="794"/>
        </w:tabs>
        <w:ind w:left="1134" w:hanging="207"/>
      </w:pPr>
      <w:rPr>
        <w:rFonts w:ascii="Wingdings" w:hAnsi="Wingdings" w:cs="Wingdings" w:hint="default"/>
        <w:color w:val="1868B1"/>
      </w:rPr>
    </w:lvl>
    <w:lvl w:ilvl="2">
      <w:start w:val="1"/>
      <w:numFmt w:val="bullet"/>
      <w:lvlText w:val=""/>
      <w:lvlJc w:val="left"/>
      <w:pPr>
        <w:tabs>
          <w:tab w:val="num" w:pos="794"/>
        </w:tabs>
        <w:ind w:left="1418" w:hanging="131"/>
      </w:pPr>
      <w:rPr>
        <w:rFonts w:ascii="Symbol" w:hAnsi="Symbol" w:cs="Symbol" w:hint="default"/>
        <w:color w:val="99BA2D"/>
      </w:rPr>
    </w:lvl>
    <w:lvl w:ilvl="3">
      <w:start w:val="1"/>
      <w:numFmt w:val="bullet"/>
      <w:lvlText w:val="-"/>
      <w:lvlJc w:val="left"/>
      <w:pPr>
        <w:tabs>
          <w:tab w:val="num" w:pos="794"/>
        </w:tabs>
        <w:ind w:left="1701" w:hanging="54"/>
      </w:pPr>
      <w:rPr>
        <w:rFonts w:ascii="Verdana" w:hAnsi="Verdana" w:cs="Verdana" w:hint="default"/>
      </w:rPr>
    </w:lvl>
    <w:lvl w:ilvl="4">
      <w:start w:val="1"/>
      <w:numFmt w:val="bullet"/>
      <w:lvlText w:val=""/>
      <w:lvlJc w:val="left"/>
      <w:pPr>
        <w:tabs>
          <w:tab w:val="num" w:pos="2367"/>
        </w:tabs>
        <w:ind w:left="2367" w:hanging="360"/>
      </w:pPr>
      <w:rPr>
        <w:rFonts w:ascii="Wingdings" w:hAnsi="Wingdings" w:cs="Wingdings" w:hint="default"/>
      </w:rPr>
    </w:lvl>
    <w:lvl w:ilvl="5">
      <w:start w:val="1"/>
      <w:numFmt w:val="bullet"/>
      <w:lvlText w:val="●"/>
      <w:lvlJc w:val="left"/>
      <w:pPr>
        <w:tabs>
          <w:tab w:val="num" w:pos="2727"/>
        </w:tabs>
        <w:ind w:left="2727" w:hanging="360"/>
      </w:pPr>
      <w:rPr>
        <w:rFonts w:ascii="Verdana" w:hAnsi="Verdana" w:cs="Verdana" w:hint="default"/>
        <w:sz w:val="16"/>
        <w:szCs w:val="16"/>
      </w:rPr>
    </w:lvl>
    <w:lvl w:ilvl="6">
      <w:start w:val="1"/>
      <w:numFmt w:val="bullet"/>
      <w:lvlText w:val=""/>
      <w:lvlJc w:val="left"/>
      <w:pPr>
        <w:tabs>
          <w:tab w:val="num" w:pos="3087"/>
        </w:tabs>
        <w:ind w:left="3087" w:hanging="360"/>
      </w:pPr>
      <w:rPr>
        <w:rFonts w:ascii="Wingdings" w:hAnsi="Wingdings" w:cs="Wingdings" w:hint="default"/>
      </w:rPr>
    </w:lvl>
    <w:lvl w:ilvl="7">
      <w:start w:val="1"/>
      <w:numFmt w:val="bullet"/>
      <w:lvlText w:val=""/>
      <w:lvlJc w:val="left"/>
      <w:pPr>
        <w:tabs>
          <w:tab w:val="num" w:pos="3447"/>
        </w:tabs>
        <w:ind w:left="3447" w:hanging="360"/>
      </w:pPr>
      <w:rPr>
        <w:rFonts w:ascii="Symbol" w:hAnsi="Symbol" w:cs="Symbol" w:hint="default"/>
      </w:rPr>
    </w:lvl>
    <w:lvl w:ilvl="8">
      <w:start w:val="1"/>
      <w:numFmt w:val="bullet"/>
      <w:lvlText w:val=""/>
      <w:lvlJc w:val="left"/>
      <w:pPr>
        <w:tabs>
          <w:tab w:val="num" w:pos="3807"/>
        </w:tabs>
        <w:ind w:left="3807" w:hanging="360"/>
      </w:pPr>
      <w:rPr>
        <w:rFonts w:ascii="Symbol" w:hAnsi="Symbol" w:cs="Symbol" w:hint="default"/>
      </w:rPr>
    </w:lvl>
  </w:abstractNum>
  <w:abstractNum w:abstractNumId="7">
    <w:nsid w:val="3DF77F22"/>
    <w:multiLevelType w:val="hybridMultilevel"/>
    <w:tmpl w:val="006CA8B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
    <w:nsid w:val="44693BAD"/>
    <w:multiLevelType w:val="hybridMultilevel"/>
    <w:tmpl w:val="025009B4"/>
    <w:lvl w:ilvl="0" w:tplc="90522A1A">
      <w:start w:val="1"/>
      <w:numFmt w:val="bullet"/>
      <w:lvlText w:val=""/>
      <w:lvlJc w:val="left"/>
      <w:pPr>
        <w:ind w:left="984" w:hanging="360"/>
      </w:pPr>
      <w:rPr>
        <w:rFonts w:ascii="Wingdings 2" w:hAnsi="Wingdings 2" w:cs="Wingdings 2" w:hint="default"/>
        <w:b/>
        <w:bCs/>
        <w:i w:val="0"/>
        <w:iCs w:val="0"/>
        <w:color w:val="1F497D"/>
        <w:sz w:val="18"/>
        <w:szCs w:val="18"/>
        <w:vertAlign w:val="baseline"/>
      </w:rPr>
    </w:lvl>
    <w:lvl w:ilvl="1" w:tplc="04090003">
      <w:start w:val="1"/>
      <w:numFmt w:val="bullet"/>
      <w:lvlText w:val="o"/>
      <w:lvlJc w:val="left"/>
      <w:pPr>
        <w:tabs>
          <w:tab w:val="num" w:pos="1684"/>
        </w:tabs>
        <w:ind w:left="1684" w:hanging="360"/>
      </w:pPr>
      <w:rPr>
        <w:rFonts w:ascii="Courier New" w:hAnsi="Courier New" w:cs="Courier New" w:hint="default"/>
      </w:rPr>
    </w:lvl>
    <w:lvl w:ilvl="2" w:tplc="04090005">
      <w:start w:val="1"/>
      <w:numFmt w:val="bullet"/>
      <w:lvlText w:val=""/>
      <w:lvlJc w:val="left"/>
      <w:pPr>
        <w:tabs>
          <w:tab w:val="num" w:pos="2404"/>
        </w:tabs>
        <w:ind w:left="2404" w:hanging="360"/>
      </w:pPr>
      <w:rPr>
        <w:rFonts w:ascii="Wingdings" w:hAnsi="Wingdings" w:cs="Wingdings" w:hint="default"/>
      </w:rPr>
    </w:lvl>
    <w:lvl w:ilvl="3" w:tplc="04090001">
      <w:start w:val="1"/>
      <w:numFmt w:val="bullet"/>
      <w:lvlText w:val=""/>
      <w:lvlJc w:val="left"/>
      <w:pPr>
        <w:tabs>
          <w:tab w:val="num" w:pos="3124"/>
        </w:tabs>
        <w:ind w:left="3124" w:hanging="360"/>
      </w:pPr>
      <w:rPr>
        <w:rFonts w:ascii="Symbol" w:hAnsi="Symbol" w:cs="Symbol" w:hint="default"/>
      </w:rPr>
    </w:lvl>
    <w:lvl w:ilvl="4" w:tplc="04090003">
      <w:start w:val="1"/>
      <w:numFmt w:val="bullet"/>
      <w:lvlText w:val="o"/>
      <w:lvlJc w:val="left"/>
      <w:pPr>
        <w:tabs>
          <w:tab w:val="num" w:pos="3844"/>
        </w:tabs>
        <w:ind w:left="3844" w:hanging="360"/>
      </w:pPr>
      <w:rPr>
        <w:rFonts w:ascii="Courier New" w:hAnsi="Courier New" w:cs="Courier New" w:hint="default"/>
      </w:rPr>
    </w:lvl>
    <w:lvl w:ilvl="5" w:tplc="04090005">
      <w:start w:val="1"/>
      <w:numFmt w:val="bullet"/>
      <w:lvlText w:val=""/>
      <w:lvlJc w:val="left"/>
      <w:pPr>
        <w:tabs>
          <w:tab w:val="num" w:pos="4564"/>
        </w:tabs>
        <w:ind w:left="4564" w:hanging="360"/>
      </w:pPr>
      <w:rPr>
        <w:rFonts w:ascii="Wingdings" w:hAnsi="Wingdings" w:cs="Wingdings" w:hint="default"/>
      </w:rPr>
    </w:lvl>
    <w:lvl w:ilvl="6" w:tplc="04090001">
      <w:start w:val="1"/>
      <w:numFmt w:val="bullet"/>
      <w:lvlText w:val=""/>
      <w:lvlJc w:val="left"/>
      <w:pPr>
        <w:tabs>
          <w:tab w:val="num" w:pos="5284"/>
        </w:tabs>
        <w:ind w:left="5284" w:hanging="360"/>
      </w:pPr>
      <w:rPr>
        <w:rFonts w:ascii="Symbol" w:hAnsi="Symbol" w:cs="Symbol" w:hint="default"/>
      </w:rPr>
    </w:lvl>
    <w:lvl w:ilvl="7" w:tplc="04090003">
      <w:start w:val="1"/>
      <w:numFmt w:val="bullet"/>
      <w:lvlText w:val="o"/>
      <w:lvlJc w:val="left"/>
      <w:pPr>
        <w:tabs>
          <w:tab w:val="num" w:pos="6004"/>
        </w:tabs>
        <w:ind w:left="6004" w:hanging="360"/>
      </w:pPr>
      <w:rPr>
        <w:rFonts w:ascii="Courier New" w:hAnsi="Courier New" w:cs="Courier New" w:hint="default"/>
      </w:rPr>
    </w:lvl>
    <w:lvl w:ilvl="8" w:tplc="04090005">
      <w:start w:val="1"/>
      <w:numFmt w:val="bullet"/>
      <w:lvlText w:val=""/>
      <w:lvlJc w:val="left"/>
      <w:pPr>
        <w:tabs>
          <w:tab w:val="num" w:pos="6724"/>
        </w:tabs>
        <w:ind w:left="6724" w:hanging="360"/>
      </w:pPr>
      <w:rPr>
        <w:rFonts w:ascii="Wingdings" w:hAnsi="Wingdings" w:cs="Wingdings" w:hint="default"/>
      </w:rPr>
    </w:lvl>
  </w:abstractNum>
  <w:abstractNum w:abstractNumId="9">
    <w:nsid w:val="46846BFD"/>
    <w:multiLevelType w:val="hybridMultilevel"/>
    <w:tmpl w:val="3B886372"/>
    <w:lvl w:ilvl="0" w:tplc="080C000B">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0">
    <w:nsid w:val="51BE1E86"/>
    <w:multiLevelType w:val="hybridMultilevel"/>
    <w:tmpl w:val="67EC498E"/>
    <w:lvl w:ilvl="0" w:tplc="884C5988">
      <w:start w:val="1"/>
      <w:numFmt w:val="bullet"/>
      <w:lvlText w:val=""/>
      <w:lvlJc w:val="left"/>
      <w:pPr>
        <w:tabs>
          <w:tab w:val="num" w:pos="1276"/>
        </w:tabs>
        <w:ind w:left="1276" w:hanging="283"/>
      </w:pPr>
      <w:rPr>
        <w:rFonts w:ascii="Wingdings 2" w:hAnsi="Wingdings 2" w:cs="Wingdings 2" w:hint="default"/>
        <w:b/>
        <w:bCs/>
        <w:i w:val="0"/>
        <w:iCs w:val="0"/>
        <w:color w:val="1868B1"/>
        <w:sz w:val="18"/>
        <w:szCs w:val="18"/>
        <w:vertAlign w:val="baseline"/>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1">
    <w:nsid w:val="57DB3E0C"/>
    <w:multiLevelType w:val="hybridMultilevel"/>
    <w:tmpl w:val="EF98183E"/>
    <w:lvl w:ilvl="0" w:tplc="884C5988">
      <w:start w:val="1"/>
      <w:numFmt w:val="bullet"/>
      <w:lvlText w:val=""/>
      <w:lvlJc w:val="left"/>
      <w:pPr>
        <w:tabs>
          <w:tab w:val="num" w:pos="425"/>
        </w:tabs>
        <w:ind w:left="425" w:hanging="283"/>
      </w:pPr>
      <w:rPr>
        <w:rFonts w:ascii="Wingdings 2" w:hAnsi="Wingdings 2" w:cs="Wingdings 2" w:hint="default"/>
        <w:b/>
        <w:bCs/>
        <w:i w:val="0"/>
        <w:iCs w:val="0"/>
        <w:color w:val="1868B1"/>
        <w:sz w:val="18"/>
        <w:szCs w:val="18"/>
        <w:vertAlign w:val="baseline"/>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C4B0AC2"/>
    <w:multiLevelType w:val="multilevel"/>
    <w:tmpl w:val="8EAE1758"/>
    <w:lvl w:ilvl="0">
      <w:start w:val="1"/>
      <w:numFmt w:val="decimal"/>
      <w:pStyle w:val="BETitreNiveau1"/>
      <w:lvlText w:val="%1."/>
      <w:lvlJc w:val="left"/>
      <w:pPr>
        <w:tabs>
          <w:tab w:val="num" w:pos="1070"/>
        </w:tabs>
        <w:ind w:left="1070" w:hanging="360"/>
      </w:pPr>
      <w:rPr>
        <w:rFonts w:hint="default"/>
      </w:rPr>
    </w:lvl>
    <w:lvl w:ilvl="1">
      <w:start w:val="1"/>
      <w:numFmt w:val="decimal"/>
      <w:pStyle w:val="BETitreNiveau2"/>
      <w:lvlText w:val="%1.%2."/>
      <w:lvlJc w:val="left"/>
      <w:pPr>
        <w:tabs>
          <w:tab w:val="num" w:pos="1931"/>
        </w:tabs>
        <w:ind w:left="1643" w:hanging="432"/>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num w:numId="1">
    <w:abstractNumId w:val="12"/>
  </w:num>
  <w:num w:numId="2">
    <w:abstractNumId w:val="0"/>
  </w:num>
  <w:num w:numId="3">
    <w:abstractNumId w:val="1"/>
  </w:num>
  <w:num w:numId="4">
    <w:abstractNumId w:val="6"/>
  </w:num>
  <w:num w:numId="5">
    <w:abstractNumId w:val="8"/>
  </w:num>
  <w:num w:numId="6">
    <w:abstractNumId w:val="0"/>
  </w:num>
  <w:num w:numId="7">
    <w:abstractNumId w:val="7"/>
  </w:num>
  <w:num w:numId="8">
    <w:abstractNumId w:val="3"/>
  </w:num>
  <w:num w:numId="9">
    <w:abstractNumId w:val="0"/>
  </w:num>
  <w:num w:numId="10">
    <w:abstractNumId w:val="0"/>
  </w:num>
  <w:num w:numId="11">
    <w:abstractNumId w:val="9"/>
  </w:num>
  <w:num w:numId="12">
    <w:abstractNumId w:val="0"/>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0"/>
  </w:num>
  <w:num w:numId="18">
    <w:abstractNumId w:val="4"/>
  </w:num>
  <w:num w:numId="19">
    <w:abstractNumId w:val="2"/>
  </w:num>
  <w:num w:numId="20">
    <w:abstractNumId w:val="10"/>
  </w:num>
  <w:num w:numId="21">
    <w:abstractNumId w:val="5"/>
  </w:num>
  <w:num w:numId="22">
    <w:abstractNumId w:val="12"/>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99"/>
    <w:rsid w:val="000035F2"/>
    <w:rsid w:val="000143CF"/>
    <w:rsid w:val="00020BF8"/>
    <w:rsid w:val="00022969"/>
    <w:rsid w:val="00023A88"/>
    <w:rsid w:val="00025FF2"/>
    <w:rsid w:val="0002609A"/>
    <w:rsid w:val="0002755A"/>
    <w:rsid w:val="00031B9C"/>
    <w:rsid w:val="000400CD"/>
    <w:rsid w:val="00044750"/>
    <w:rsid w:val="00086F78"/>
    <w:rsid w:val="00091D5D"/>
    <w:rsid w:val="000A1F00"/>
    <w:rsid w:val="000A36D3"/>
    <w:rsid w:val="000A6ABF"/>
    <w:rsid w:val="000B458A"/>
    <w:rsid w:val="000B66C2"/>
    <w:rsid w:val="000C3D39"/>
    <w:rsid w:val="000C6EB1"/>
    <w:rsid w:val="001010A9"/>
    <w:rsid w:val="001031D0"/>
    <w:rsid w:val="00104F31"/>
    <w:rsid w:val="001107E5"/>
    <w:rsid w:val="00113598"/>
    <w:rsid w:val="0011643D"/>
    <w:rsid w:val="00117B6E"/>
    <w:rsid w:val="0012041C"/>
    <w:rsid w:val="00135F4D"/>
    <w:rsid w:val="0013622C"/>
    <w:rsid w:val="00155966"/>
    <w:rsid w:val="00162AA0"/>
    <w:rsid w:val="0016423C"/>
    <w:rsid w:val="001642BD"/>
    <w:rsid w:val="0016669F"/>
    <w:rsid w:val="00177A04"/>
    <w:rsid w:val="00183B8C"/>
    <w:rsid w:val="00186CAB"/>
    <w:rsid w:val="001905B3"/>
    <w:rsid w:val="00191E04"/>
    <w:rsid w:val="00194E77"/>
    <w:rsid w:val="001A1150"/>
    <w:rsid w:val="001A59F0"/>
    <w:rsid w:val="001A6BD2"/>
    <w:rsid w:val="001B2F3D"/>
    <w:rsid w:val="001B36CD"/>
    <w:rsid w:val="001C3EDB"/>
    <w:rsid w:val="001C4BFA"/>
    <w:rsid w:val="001C5628"/>
    <w:rsid w:val="001C56BE"/>
    <w:rsid w:val="001D5CE8"/>
    <w:rsid w:val="001D7AB5"/>
    <w:rsid w:val="001E41AC"/>
    <w:rsid w:val="00210090"/>
    <w:rsid w:val="002107D9"/>
    <w:rsid w:val="002119ED"/>
    <w:rsid w:val="0021657B"/>
    <w:rsid w:val="00241A58"/>
    <w:rsid w:val="00256562"/>
    <w:rsid w:val="00257137"/>
    <w:rsid w:val="0026100E"/>
    <w:rsid w:val="00261FE8"/>
    <w:rsid w:val="00264AA2"/>
    <w:rsid w:val="00270D14"/>
    <w:rsid w:val="002745F3"/>
    <w:rsid w:val="0028290B"/>
    <w:rsid w:val="00287C07"/>
    <w:rsid w:val="002924A9"/>
    <w:rsid w:val="002A14C8"/>
    <w:rsid w:val="002B470D"/>
    <w:rsid w:val="002D25C9"/>
    <w:rsid w:val="002D3794"/>
    <w:rsid w:val="002E7CE7"/>
    <w:rsid w:val="002F586C"/>
    <w:rsid w:val="00323001"/>
    <w:rsid w:val="00330DFD"/>
    <w:rsid w:val="003421CA"/>
    <w:rsid w:val="003465F8"/>
    <w:rsid w:val="00352F39"/>
    <w:rsid w:val="0037336A"/>
    <w:rsid w:val="00374544"/>
    <w:rsid w:val="00374F1D"/>
    <w:rsid w:val="00381B52"/>
    <w:rsid w:val="00384C48"/>
    <w:rsid w:val="003968AC"/>
    <w:rsid w:val="003A681C"/>
    <w:rsid w:val="003B660A"/>
    <w:rsid w:val="003C4625"/>
    <w:rsid w:val="003C4A53"/>
    <w:rsid w:val="003C7B67"/>
    <w:rsid w:val="003D0885"/>
    <w:rsid w:val="003D1FAE"/>
    <w:rsid w:val="003F13F6"/>
    <w:rsid w:val="00414075"/>
    <w:rsid w:val="00414592"/>
    <w:rsid w:val="0042656F"/>
    <w:rsid w:val="004318ED"/>
    <w:rsid w:val="00435550"/>
    <w:rsid w:val="00442540"/>
    <w:rsid w:val="0044597E"/>
    <w:rsid w:val="00445F20"/>
    <w:rsid w:val="00450BA7"/>
    <w:rsid w:val="00450D49"/>
    <w:rsid w:val="00456685"/>
    <w:rsid w:val="00461C1A"/>
    <w:rsid w:val="004666E6"/>
    <w:rsid w:val="0047272A"/>
    <w:rsid w:val="00472AE5"/>
    <w:rsid w:val="004738E5"/>
    <w:rsid w:val="004747F1"/>
    <w:rsid w:val="004810DB"/>
    <w:rsid w:val="0048318D"/>
    <w:rsid w:val="00487FF2"/>
    <w:rsid w:val="004A1374"/>
    <w:rsid w:val="004B4B31"/>
    <w:rsid w:val="004C17D0"/>
    <w:rsid w:val="004D1F7B"/>
    <w:rsid w:val="004D2300"/>
    <w:rsid w:val="004D431C"/>
    <w:rsid w:val="004E49FC"/>
    <w:rsid w:val="004E551C"/>
    <w:rsid w:val="004F1EBE"/>
    <w:rsid w:val="004F4494"/>
    <w:rsid w:val="004F452C"/>
    <w:rsid w:val="004F524C"/>
    <w:rsid w:val="005047B4"/>
    <w:rsid w:val="00516CD3"/>
    <w:rsid w:val="00531DA1"/>
    <w:rsid w:val="00534920"/>
    <w:rsid w:val="005435CF"/>
    <w:rsid w:val="00552EB3"/>
    <w:rsid w:val="00561C4C"/>
    <w:rsid w:val="00563560"/>
    <w:rsid w:val="00571063"/>
    <w:rsid w:val="00572C57"/>
    <w:rsid w:val="005818D1"/>
    <w:rsid w:val="00581FD9"/>
    <w:rsid w:val="00590238"/>
    <w:rsid w:val="00592EF2"/>
    <w:rsid w:val="005B4167"/>
    <w:rsid w:val="005C2467"/>
    <w:rsid w:val="005C4BF4"/>
    <w:rsid w:val="005C7B39"/>
    <w:rsid w:val="005D4C57"/>
    <w:rsid w:val="005F6DC0"/>
    <w:rsid w:val="006025AA"/>
    <w:rsid w:val="00611D2C"/>
    <w:rsid w:val="006265EF"/>
    <w:rsid w:val="006340D2"/>
    <w:rsid w:val="00661700"/>
    <w:rsid w:val="00671CC4"/>
    <w:rsid w:val="006723C9"/>
    <w:rsid w:val="00673D4F"/>
    <w:rsid w:val="00677AA6"/>
    <w:rsid w:val="006804B9"/>
    <w:rsid w:val="00681301"/>
    <w:rsid w:val="00682374"/>
    <w:rsid w:val="006934D1"/>
    <w:rsid w:val="006C3DA8"/>
    <w:rsid w:val="006C70EE"/>
    <w:rsid w:val="006D63B3"/>
    <w:rsid w:val="006D77C9"/>
    <w:rsid w:val="006E0041"/>
    <w:rsid w:val="006E5DAF"/>
    <w:rsid w:val="006F0DE7"/>
    <w:rsid w:val="006F664A"/>
    <w:rsid w:val="007123CD"/>
    <w:rsid w:val="00732547"/>
    <w:rsid w:val="00742F9E"/>
    <w:rsid w:val="00751927"/>
    <w:rsid w:val="00767C6E"/>
    <w:rsid w:val="00770F16"/>
    <w:rsid w:val="007764D3"/>
    <w:rsid w:val="007804FC"/>
    <w:rsid w:val="007847FB"/>
    <w:rsid w:val="007872A2"/>
    <w:rsid w:val="007A0935"/>
    <w:rsid w:val="007A1271"/>
    <w:rsid w:val="007A2D94"/>
    <w:rsid w:val="007A31D3"/>
    <w:rsid w:val="007A4CBA"/>
    <w:rsid w:val="007B1B1B"/>
    <w:rsid w:val="007C5FF7"/>
    <w:rsid w:val="007D519D"/>
    <w:rsid w:val="007E23A0"/>
    <w:rsid w:val="007F28CB"/>
    <w:rsid w:val="007F3482"/>
    <w:rsid w:val="007F58C6"/>
    <w:rsid w:val="007F7915"/>
    <w:rsid w:val="008044D3"/>
    <w:rsid w:val="0080631E"/>
    <w:rsid w:val="008066AC"/>
    <w:rsid w:val="0081342C"/>
    <w:rsid w:val="008145E8"/>
    <w:rsid w:val="008173D9"/>
    <w:rsid w:val="008231AF"/>
    <w:rsid w:val="008248DD"/>
    <w:rsid w:val="00834C84"/>
    <w:rsid w:val="00837D31"/>
    <w:rsid w:val="008518EB"/>
    <w:rsid w:val="00855CF8"/>
    <w:rsid w:val="00874225"/>
    <w:rsid w:val="00876E78"/>
    <w:rsid w:val="00876F16"/>
    <w:rsid w:val="008900B9"/>
    <w:rsid w:val="008912DA"/>
    <w:rsid w:val="008A0490"/>
    <w:rsid w:val="008A0F06"/>
    <w:rsid w:val="008A11F9"/>
    <w:rsid w:val="008A435F"/>
    <w:rsid w:val="008B0105"/>
    <w:rsid w:val="008B12A2"/>
    <w:rsid w:val="008B7BBE"/>
    <w:rsid w:val="008D0D5B"/>
    <w:rsid w:val="008E738D"/>
    <w:rsid w:val="008F19E8"/>
    <w:rsid w:val="008F70C9"/>
    <w:rsid w:val="009153CE"/>
    <w:rsid w:val="0092603C"/>
    <w:rsid w:val="00936566"/>
    <w:rsid w:val="00946680"/>
    <w:rsid w:val="00946D26"/>
    <w:rsid w:val="0095123C"/>
    <w:rsid w:val="00954A15"/>
    <w:rsid w:val="0096429B"/>
    <w:rsid w:val="009826E6"/>
    <w:rsid w:val="00997BAB"/>
    <w:rsid w:val="009A0C40"/>
    <w:rsid w:val="009A7125"/>
    <w:rsid w:val="009B585C"/>
    <w:rsid w:val="009C0D22"/>
    <w:rsid w:val="009C2498"/>
    <w:rsid w:val="009C28C1"/>
    <w:rsid w:val="009C5FFA"/>
    <w:rsid w:val="009C66EE"/>
    <w:rsid w:val="009C762A"/>
    <w:rsid w:val="009D571A"/>
    <w:rsid w:val="009E3C38"/>
    <w:rsid w:val="009E6916"/>
    <w:rsid w:val="00A06CCF"/>
    <w:rsid w:val="00A15028"/>
    <w:rsid w:val="00A24A01"/>
    <w:rsid w:val="00A31C7E"/>
    <w:rsid w:val="00A371DC"/>
    <w:rsid w:val="00A42779"/>
    <w:rsid w:val="00A51461"/>
    <w:rsid w:val="00A51C12"/>
    <w:rsid w:val="00A55BDA"/>
    <w:rsid w:val="00A64081"/>
    <w:rsid w:val="00A717FF"/>
    <w:rsid w:val="00A73CAF"/>
    <w:rsid w:val="00A81BF5"/>
    <w:rsid w:val="00A847D7"/>
    <w:rsid w:val="00A914D0"/>
    <w:rsid w:val="00A936D6"/>
    <w:rsid w:val="00AA4A0B"/>
    <w:rsid w:val="00AA75F2"/>
    <w:rsid w:val="00AB0F8D"/>
    <w:rsid w:val="00AB2754"/>
    <w:rsid w:val="00AC423F"/>
    <w:rsid w:val="00AD5F3F"/>
    <w:rsid w:val="00AD7D02"/>
    <w:rsid w:val="00AE234D"/>
    <w:rsid w:val="00AE46B2"/>
    <w:rsid w:val="00AF2E9C"/>
    <w:rsid w:val="00AF34AB"/>
    <w:rsid w:val="00B44B6E"/>
    <w:rsid w:val="00B47261"/>
    <w:rsid w:val="00B511F7"/>
    <w:rsid w:val="00B54874"/>
    <w:rsid w:val="00B573C5"/>
    <w:rsid w:val="00B82081"/>
    <w:rsid w:val="00B878C8"/>
    <w:rsid w:val="00BA2340"/>
    <w:rsid w:val="00BA483C"/>
    <w:rsid w:val="00BB4F6F"/>
    <w:rsid w:val="00BB54E8"/>
    <w:rsid w:val="00BC22D0"/>
    <w:rsid w:val="00BC4899"/>
    <w:rsid w:val="00BD0D48"/>
    <w:rsid w:val="00BE2073"/>
    <w:rsid w:val="00BF1A5B"/>
    <w:rsid w:val="00C0040A"/>
    <w:rsid w:val="00C20C9E"/>
    <w:rsid w:val="00C20E7D"/>
    <w:rsid w:val="00C24E66"/>
    <w:rsid w:val="00C36AD5"/>
    <w:rsid w:val="00C37923"/>
    <w:rsid w:val="00C41467"/>
    <w:rsid w:val="00C44484"/>
    <w:rsid w:val="00C50261"/>
    <w:rsid w:val="00C56A25"/>
    <w:rsid w:val="00C65500"/>
    <w:rsid w:val="00C736AB"/>
    <w:rsid w:val="00C840B9"/>
    <w:rsid w:val="00C84DBE"/>
    <w:rsid w:val="00C91D99"/>
    <w:rsid w:val="00C949F5"/>
    <w:rsid w:val="00CA1BA3"/>
    <w:rsid w:val="00CA2496"/>
    <w:rsid w:val="00CF21C0"/>
    <w:rsid w:val="00CF7EFB"/>
    <w:rsid w:val="00D33428"/>
    <w:rsid w:val="00D42971"/>
    <w:rsid w:val="00D62FE9"/>
    <w:rsid w:val="00D6406B"/>
    <w:rsid w:val="00D71249"/>
    <w:rsid w:val="00D80CFB"/>
    <w:rsid w:val="00D810A9"/>
    <w:rsid w:val="00D87C7C"/>
    <w:rsid w:val="00DA4B2B"/>
    <w:rsid w:val="00DA6109"/>
    <w:rsid w:val="00DB7D71"/>
    <w:rsid w:val="00DC5041"/>
    <w:rsid w:val="00DD32C9"/>
    <w:rsid w:val="00DD7BC4"/>
    <w:rsid w:val="00DE1EC2"/>
    <w:rsid w:val="00DE3271"/>
    <w:rsid w:val="00DF0850"/>
    <w:rsid w:val="00DF6B6F"/>
    <w:rsid w:val="00E01801"/>
    <w:rsid w:val="00E034AE"/>
    <w:rsid w:val="00E13BAD"/>
    <w:rsid w:val="00E1576A"/>
    <w:rsid w:val="00E33B6B"/>
    <w:rsid w:val="00E41923"/>
    <w:rsid w:val="00E50EC1"/>
    <w:rsid w:val="00E56439"/>
    <w:rsid w:val="00E662AE"/>
    <w:rsid w:val="00E70997"/>
    <w:rsid w:val="00E71EE6"/>
    <w:rsid w:val="00E72029"/>
    <w:rsid w:val="00E732DA"/>
    <w:rsid w:val="00E74542"/>
    <w:rsid w:val="00E97F21"/>
    <w:rsid w:val="00EA587A"/>
    <w:rsid w:val="00EA5C2D"/>
    <w:rsid w:val="00EA63A3"/>
    <w:rsid w:val="00EC29FA"/>
    <w:rsid w:val="00EC5CAC"/>
    <w:rsid w:val="00EE7193"/>
    <w:rsid w:val="00EF0FEF"/>
    <w:rsid w:val="00EF2815"/>
    <w:rsid w:val="00EF73E0"/>
    <w:rsid w:val="00F0598C"/>
    <w:rsid w:val="00F13BEB"/>
    <w:rsid w:val="00F15E00"/>
    <w:rsid w:val="00F3425F"/>
    <w:rsid w:val="00F4136F"/>
    <w:rsid w:val="00F42024"/>
    <w:rsid w:val="00F42157"/>
    <w:rsid w:val="00F47664"/>
    <w:rsid w:val="00F64126"/>
    <w:rsid w:val="00F874D5"/>
    <w:rsid w:val="00F92DE3"/>
    <w:rsid w:val="00FA3653"/>
    <w:rsid w:val="00FA44B3"/>
    <w:rsid w:val="00FC41C8"/>
    <w:rsid w:val="00FD469D"/>
    <w:rsid w:val="00FE26B9"/>
    <w:rsid w:val="00FE59F7"/>
    <w:rsid w:val="00FF58BD"/>
    <w:rsid w:val="00FF6315"/>
    <w:rsid w:val="00FF72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_BE_Normal"/>
    <w:qFormat/>
    <w:rsid w:val="001D5CE8"/>
    <w:pPr>
      <w:ind w:left="851" w:right="851"/>
      <w:jc w:val="both"/>
    </w:pPr>
    <w:rPr>
      <w:rFonts w:ascii="Arial" w:hAnsi="Arial"/>
      <w:color w:val="000000"/>
      <w:lang w:val="fr-FR" w:eastAsia="en-US"/>
    </w:rPr>
  </w:style>
  <w:style w:type="paragraph" w:styleId="Titre1">
    <w:name w:val="heading 1"/>
    <w:next w:val="Normal"/>
    <w:qFormat/>
    <w:rsid w:val="00B511F7"/>
    <w:pPr>
      <w:keepNext/>
      <w:spacing w:before="240" w:after="60"/>
      <w:ind w:left="851" w:right="851"/>
      <w:outlineLvl w:val="0"/>
    </w:pPr>
    <w:rPr>
      <w:rFonts w:ascii="Arial" w:hAnsi="Arial" w:cs="Arial"/>
      <w:b/>
      <w:bCs/>
      <w:color w:val="000000"/>
      <w:kern w:val="32"/>
      <w:sz w:val="32"/>
      <w:szCs w:val="32"/>
      <w:lang w:val="fr-FR" w:eastAsia="en-US"/>
    </w:rPr>
  </w:style>
  <w:style w:type="paragraph" w:styleId="Titre2">
    <w:name w:val="heading 2"/>
    <w:next w:val="Normal"/>
    <w:qFormat/>
    <w:rsid w:val="00B511F7"/>
    <w:pPr>
      <w:keepNext/>
      <w:spacing w:before="240" w:after="60"/>
      <w:ind w:left="851" w:right="851"/>
      <w:outlineLvl w:val="1"/>
    </w:pPr>
    <w:rPr>
      <w:rFonts w:ascii="Arial" w:hAnsi="Arial" w:cs="Arial"/>
      <w:b/>
      <w:bCs/>
      <w:i/>
      <w:iCs/>
      <w:color w:val="000000"/>
      <w:sz w:val="28"/>
      <w:szCs w:val="28"/>
      <w:lang w:val="fr-FR" w:eastAsia="en-US"/>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val="fr-FR" w:eastAsia="en-US"/>
    </w:rPr>
  </w:style>
  <w:style w:type="paragraph" w:styleId="Titre5">
    <w:name w:val="heading 5"/>
    <w:basedOn w:val="Normal"/>
    <w:next w:val="Normal"/>
    <w:link w:val="Titre5Car"/>
    <w:semiHidden/>
    <w:unhideWhenUsed/>
    <w:qFormat/>
    <w:rsid w:val="00DA6109"/>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8900B9"/>
    <w:pPr>
      <w:spacing w:before="360"/>
      <w:ind w:left="851" w:right="851"/>
      <w:jc w:val="center"/>
    </w:pPr>
    <w:rPr>
      <w:rFonts w:ascii="Arial" w:hAnsi="Arial"/>
      <w:b/>
      <w:caps/>
      <w:color w:val="006F90"/>
      <w:sz w:val="36"/>
      <w:szCs w:val="36"/>
      <w:lang w:val="fr-FR" w:eastAsia="en-US"/>
    </w:rPr>
  </w:style>
  <w:style w:type="paragraph" w:customStyle="1" w:styleId="BESousTitreFiche">
    <w:name w:val="_BE_Sous_Titre_Fiche"/>
    <w:rsid w:val="006804B9"/>
    <w:pPr>
      <w:spacing w:before="240" w:after="120"/>
      <w:ind w:left="851" w:right="851"/>
      <w:jc w:val="center"/>
    </w:pPr>
    <w:rPr>
      <w:rFonts w:ascii="Arial" w:hAnsi="Arial"/>
      <w:i/>
      <w:color w:val="000000"/>
      <w:sz w:val="22"/>
      <w:szCs w:val="22"/>
      <w:lang w:val="fr-FR" w:eastAsia="en-US"/>
    </w:rPr>
  </w:style>
  <w:style w:type="paragraph" w:customStyle="1" w:styleId="BETitreNiveau1">
    <w:name w:val="_BE_Titre_Niveau_1"/>
    <w:rsid w:val="001C56BE"/>
    <w:pPr>
      <w:numPr>
        <w:numId w:val="1"/>
      </w:numPr>
      <w:tabs>
        <w:tab w:val="clear" w:pos="1070"/>
        <w:tab w:val="num" w:pos="1211"/>
      </w:tabs>
      <w:spacing w:before="240" w:after="120"/>
      <w:ind w:left="1208" w:right="851" w:hanging="357"/>
    </w:pPr>
    <w:rPr>
      <w:rFonts w:ascii="Arial" w:hAnsi="Arial"/>
      <w:b/>
      <w:caps/>
      <w:color w:val="006F90"/>
      <w:sz w:val="24"/>
      <w:szCs w:val="24"/>
      <w:lang w:val="fr-FR" w:eastAsia="en-US"/>
    </w:rPr>
  </w:style>
  <w:style w:type="paragraph" w:customStyle="1" w:styleId="BETitreNiveau2">
    <w:name w:val="_BE_Titre_Niveau_2"/>
    <w:rsid w:val="001C56BE"/>
    <w:pPr>
      <w:numPr>
        <w:ilvl w:val="1"/>
        <w:numId w:val="1"/>
      </w:numPr>
      <w:spacing w:before="240" w:after="60"/>
      <w:ind w:right="851"/>
    </w:pPr>
    <w:rPr>
      <w:rFonts w:ascii="Arial" w:hAnsi="Arial"/>
      <w:b/>
      <w:caps/>
      <w:color w:val="646464"/>
      <w:lang w:val="fr-FR"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val="fr-FR" w:eastAsia="en-US"/>
    </w:rPr>
  </w:style>
  <w:style w:type="paragraph" w:styleId="En-tte">
    <w:name w:val="header"/>
    <w:aliases w:val="_BE_En tête"/>
    <w:basedOn w:val="Normal"/>
    <w:rsid w:val="00B878C8"/>
    <w:pPr>
      <w:tabs>
        <w:tab w:val="center" w:pos="4320"/>
        <w:tab w:val="right" w:pos="8640"/>
      </w:tabs>
    </w:pPr>
  </w:style>
  <w:style w:type="paragraph" w:styleId="Pieddepage">
    <w:name w:val="footer"/>
    <w:aliases w:val="_BE_Pied de page"/>
    <w:basedOn w:val="Normal"/>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val="fr-FR" w:eastAsia="en-US"/>
    </w:rPr>
  </w:style>
  <w:style w:type="paragraph" w:styleId="Listenumros">
    <w:name w:val="List Number"/>
    <w:aliases w:val="_BE_Liste numérotée"/>
    <w:rsid w:val="00E70997"/>
    <w:pPr>
      <w:numPr>
        <w:numId w:val="2"/>
      </w:numPr>
      <w:ind w:right="851"/>
    </w:pPr>
    <w:rPr>
      <w:rFonts w:ascii="Arial" w:hAnsi="Arial"/>
      <w:color w:val="000000"/>
      <w:lang w:val="fr-FR" w:eastAsia="en-US"/>
    </w:rPr>
  </w:style>
  <w:style w:type="paragraph" w:customStyle="1" w:styleId="BETitreNiveau3">
    <w:name w:val="_BE_Titre_Niveau_3"/>
    <w:rsid w:val="009E6916"/>
    <w:pPr>
      <w:spacing w:before="240"/>
      <w:ind w:left="851" w:right="851"/>
    </w:pPr>
    <w:rPr>
      <w:rFonts w:ascii="Arial" w:hAnsi="Arial"/>
      <w:b/>
      <w:color w:val="000000"/>
      <w:lang w:val="fr-FR"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val="fr-FR" w:eastAsia="en-US"/>
    </w:rPr>
  </w:style>
  <w:style w:type="paragraph" w:styleId="Listepuces">
    <w:name w:val="List Bullet"/>
    <w:aliases w:val="_BE_Liste à puces"/>
    <w:rsid w:val="00E70997"/>
    <w:pPr>
      <w:numPr>
        <w:numId w:val="3"/>
      </w:numPr>
      <w:ind w:right="851"/>
    </w:pPr>
    <w:rPr>
      <w:rFonts w:ascii="Arial" w:hAnsi="Arial"/>
      <w:color w:val="000000"/>
      <w:lang w:val="fr-FR" w:eastAsia="en-US"/>
    </w:rPr>
  </w:style>
  <w:style w:type="character" w:customStyle="1" w:styleId="BEItalique">
    <w:name w:val="_BE_Italique"/>
    <w:rsid w:val="00381B52"/>
    <w:rPr>
      <w:i/>
      <w:iCs/>
    </w:rPr>
  </w:style>
  <w:style w:type="character" w:customStyle="1" w:styleId="BEGras">
    <w:name w:val="_BE_Gras"/>
    <w:rsid w:val="003C4A53"/>
    <w:rPr>
      <w:b/>
    </w:rPr>
  </w:style>
  <w:style w:type="character" w:customStyle="1" w:styleId="BESoulign">
    <w:name w:val="_BE_Souligné"/>
    <w:rsid w:val="003C4A53"/>
    <w:rPr>
      <w:u w:val="single"/>
    </w:rPr>
  </w:style>
  <w:style w:type="character" w:styleId="Lienhypertexte">
    <w:name w:val="Hyperlink"/>
    <w:rsid w:val="00592EF2"/>
    <w:rPr>
      <w:color w:val="006F90"/>
      <w:u w:val="single"/>
    </w:rPr>
  </w:style>
  <w:style w:type="paragraph" w:styleId="Normalcentr">
    <w:name w:val="Block Text"/>
    <w:basedOn w:val="Normal"/>
    <w:rsid w:val="0026100E"/>
    <w:pPr>
      <w:tabs>
        <w:tab w:val="left" w:pos="-1134"/>
      </w:tabs>
    </w:pPr>
  </w:style>
  <w:style w:type="table" w:styleId="Grilledutableau">
    <w:name w:val="Table Grid"/>
    <w:basedOn w:val="TableauNormal"/>
    <w:uiPriority w:val="59"/>
    <w:rsid w:val="004F452C"/>
    <w:pPr>
      <w:ind w:left="851" w:righ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4136F"/>
    <w:rPr>
      <w:rFonts w:ascii="Tahoma" w:hAnsi="Tahoma" w:cs="Tahoma"/>
      <w:sz w:val="16"/>
      <w:szCs w:val="16"/>
    </w:rPr>
  </w:style>
  <w:style w:type="character" w:customStyle="1" w:styleId="TextedebullesCar">
    <w:name w:val="Texte de bulles Car"/>
    <w:link w:val="Textedebulles"/>
    <w:rsid w:val="00F4136F"/>
    <w:rPr>
      <w:rFonts w:ascii="Tahoma" w:hAnsi="Tahoma" w:cs="Tahoma"/>
      <w:color w:val="000000"/>
      <w:sz w:val="16"/>
      <w:szCs w:val="16"/>
      <w:lang w:val="fr-FR" w:eastAsia="en-US"/>
    </w:rPr>
  </w:style>
  <w:style w:type="paragraph" w:customStyle="1" w:styleId="Puce1">
    <w:name w:val="Puce 1"/>
    <w:basedOn w:val="Normal"/>
    <w:link w:val="Puce1Char"/>
    <w:uiPriority w:val="99"/>
    <w:qFormat/>
    <w:rsid w:val="00487FF2"/>
    <w:pPr>
      <w:tabs>
        <w:tab w:val="left" w:pos="709"/>
      </w:tabs>
      <w:spacing w:before="120" w:after="120"/>
      <w:ind w:left="740" w:right="0" w:hanging="360"/>
    </w:pPr>
    <w:rPr>
      <w:rFonts w:ascii="Verdana" w:hAnsi="Verdana" w:cs="Verdana"/>
      <w:color w:val="auto"/>
      <w:lang w:val="en-GB" w:eastAsia="fr-FR"/>
    </w:rPr>
  </w:style>
  <w:style w:type="character" w:styleId="Appelnotedebasdep">
    <w:name w:val="footnote reference"/>
    <w:aliases w:val="Footnote Reference_EP-LCA"/>
    <w:basedOn w:val="Policepardfaut"/>
    <w:uiPriority w:val="99"/>
    <w:rsid w:val="00487FF2"/>
    <w:rPr>
      <w:vertAlign w:val="superscript"/>
    </w:rPr>
  </w:style>
  <w:style w:type="character" w:customStyle="1" w:styleId="Puce1Char">
    <w:name w:val="Puce 1 Char"/>
    <w:link w:val="Puce1"/>
    <w:uiPriority w:val="99"/>
    <w:locked/>
    <w:rsid w:val="00487FF2"/>
    <w:rPr>
      <w:rFonts w:ascii="Verdana" w:hAnsi="Verdana" w:cs="Verdana"/>
      <w:lang w:val="en-GB" w:eastAsia="fr-FR"/>
    </w:rPr>
  </w:style>
  <w:style w:type="paragraph" w:styleId="Lgende">
    <w:name w:val="caption"/>
    <w:basedOn w:val="Normal"/>
    <w:next w:val="Normal"/>
    <w:uiPriority w:val="35"/>
    <w:qFormat/>
    <w:rsid w:val="00EC5CAC"/>
    <w:pPr>
      <w:keepNext/>
      <w:spacing w:before="120" w:after="60"/>
      <w:ind w:left="0" w:right="0"/>
      <w:jc w:val="center"/>
    </w:pPr>
    <w:rPr>
      <w:rFonts w:ascii="Verdana" w:eastAsia="Times New Roman" w:hAnsi="Verdana" w:cs="Verdana"/>
      <w:b/>
      <w:bCs/>
      <w:color w:val="auto"/>
      <w:sz w:val="18"/>
      <w:szCs w:val="18"/>
      <w:lang w:val="fr-BE"/>
    </w:rPr>
  </w:style>
  <w:style w:type="paragraph" w:customStyle="1" w:styleId="Puce3">
    <w:name w:val="Puce 3"/>
    <w:basedOn w:val="Normal"/>
    <w:qFormat/>
    <w:rsid w:val="00E41923"/>
    <w:pPr>
      <w:numPr>
        <w:numId w:val="4"/>
      </w:numPr>
      <w:spacing w:before="40" w:after="40"/>
      <w:ind w:right="0"/>
    </w:pPr>
    <w:rPr>
      <w:rFonts w:ascii="Verdana" w:hAnsi="Verdana" w:cs="Verdana"/>
      <w:color w:val="auto"/>
      <w:lang w:val="fr-BE" w:eastAsia="fr-FR"/>
    </w:rPr>
  </w:style>
  <w:style w:type="paragraph" w:styleId="Paragraphedeliste">
    <w:name w:val="List Paragraph"/>
    <w:basedOn w:val="Normal"/>
    <w:uiPriority w:val="34"/>
    <w:qFormat/>
    <w:rsid w:val="00DA4B2B"/>
    <w:pPr>
      <w:ind w:left="720"/>
      <w:contextualSpacing/>
    </w:pPr>
  </w:style>
  <w:style w:type="character" w:styleId="Marquedecommentaire">
    <w:name w:val="annotation reference"/>
    <w:basedOn w:val="Policepardfaut"/>
    <w:uiPriority w:val="99"/>
    <w:rsid w:val="000035F2"/>
    <w:rPr>
      <w:sz w:val="16"/>
      <w:szCs w:val="16"/>
    </w:rPr>
  </w:style>
  <w:style w:type="paragraph" w:styleId="Commentaire">
    <w:name w:val="annotation text"/>
    <w:basedOn w:val="Normal"/>
    <w:link w:val="CommentaireCar"/>
    <w:uiPriority w:val="99"/>
    <w:rsid w:val="000035F2"/>
    <w:pPr>
      <w:spacing w:before="120" w:after="120"/>
      <w:ind w:left="0" w:right="0"/>
    </w:pPr>
    <w:rPr>
      <w:rFonts w:ascii="Verdana" w:hAnsi="Verdana" w:cs="Verdana"/>
      <w:color w:val="auto"/>
      <w:lang w:val="en-GB" w:eastAsia="fr-FR"/>
    </w:rPr>
  </w:style>
  <w:style w:type="character" w:customStyle="1" w:styleId="CommentaireCar">
    <w:name w:val="Commentaire Car"/>
    <w:basedOn w:val="Policepardfaut"/>
    <w:link w:val="Commentaire"/>
    <w:uiPriority w:val="99"/>
    <w:rsid w:val="000035F2"/>
    <w:rPr>
      <w:rFonts w:ascii="Verdana" w:hAnsi="Verdana" w:cs="Verdana"/>
      <w:lang w:val="en-GB" w:eastAsia="fr-FR"/>
    </w:rPr>
  </w:style>
  <w:style w:type="paragraph" w:styleId="Objetducommentaire">
    <w:name w:val="annotation subject"/>
    <w:basedOn w:val="Commentaire"/>
    <w:next w:val="Commentaire"/>
    <w:link w:val="ObjetducommentaireCar"/>
    <w:rsid w:val="00186CAB"/>
    <w:pPr>
      <w:spacing w:before="0" w:after="0"/>
      <w:ind w:left="851" w:right="851"/>
    </w:pPr>
    <w:rPr>
      <w:rFonts w:ascii="Arial" w:hAnsi="Arial" w:cs="Times New Roman"/>
      <w:b/>
      <w:bCs/>
      <w:color w:val="000000"/>
      <w:lang w:val="fr-FR" w:eastAsia="en-US"/>
    </w:rPr>
  </w:style>
  <w:style w:type="character" w:customStyle="1" w:styleId="ObjetducommentaireCar">
    <w:name w:val="Objet du commentaire Car"/>
    <w:basedOn w:val="CommentaireCar"/>
    <w:link w:val="Objetducommentaire"/>
    <w:rsid w:val="00186CAB"/>
    <w:rPr>
      <w:rFonts w:ascii="Arial" w:hAnsi="Arial" w:cs="Verdana"/>
      <w:b/>
      <w:bCs/>
      <w:color w:val="000000"/>
      <w:lang w:val="fr-FR" w:eastAsia="en-US"/>
    </w:rPr>
  </w:style>
  <w:style w:type="paragraph" w:styleId="Notedebasdepage">
    <w:name w:val="footnote text"/>
    <w:aliases w:val="Footnote,Text,Text_EP-LCA,Footnote Text_EP-LCA,Footnotes,Fußnote"/>
    <w:basedOn w:val="Normal"/>
    <w:link w:val="NotedebasdepageCar"/>
    <w:uiPriority w:val="99"/>
    <w:rsid w:val="001A1150"/>
  </w:style>
  <w:style w:type="character" w:customStyle="1" w:styleId="NotedebasdepageCar">
    <w:name w:val="Note de bas de page Car"/>
    <w:aliases w:val="Footnote Car,Text Car,Text_EP-LCA Car,Footnote Text_EP-LCA Car,Footnotes Car,Fußnote Car"/>
    <w:basedOn w:val="Policepardfaut"/>
    <w:link w:val="Notedebasdepage"/>
    <w:uiPriority w:val="99"/>
    <w:rsid w:val="001A1150"/>
    <w:rPr>
      <w:rFonts w:ascii="Arial" w:hAnsi="Arial"/>
      <w:color w:val="000000"/>
      <w:lang w:val="fr-FR" w:eastAsia="en-US"/>
    </w:rPr>
  </w:style>
  <w:style w:type="paragraph" w:customStyle="1" w:styleId="Puce2">
    <w:name w:val="Puce 2"/>
    <w:basedOn w:val="Normal"/>
    <w:link w:val="Puce2Char1"/>
    <w:uiPriority w:val="99"/>
    <w:qFormat/>
    <w:rsid w:val="0013622C"/>
    <w:pPr>
      <w:numPr>
        <w:numId w:val="19"/>
      </w:numPr>
      <w:spacing w:before="60" w:after="60"/>
      <w:ind w:right="0"/>
    </w:pPr>
    <w:rPr>
      <w:rFonts w:ascii="Verdana" w:hAnsi="Verdana" w:cs="Verdana"/>
      <w:color w:val="auto"/>
      <w:lang w:val="en-GB" w:eastAsia="fr-FR"/>
    </w:rPr>
  </w:style>
  <w:style w:type="character" w:customStyle="1" w:styleId="Puce2Char1">
    <w:name w:val="Puce 2 Char1"/>
    <w:link w:val="Puce2"/>
    <w:uiPriority w:val="99"/>
    <w:locked/>
    <w:rsid w:val="0013622C"/>
    <w:rPr>
      <w:rFonts w:ascii="Verdana" w:hAnsi="Verdana" w:cs="Verdana"/>
      <w:lang w:val="en-GB" w:eastAsia="fr-FR"/>
    </w:rPr>
  </w:style>
  <w:style w:type="character" w:customStyle="1" w:styleId="Titre5Car">
    <w:name w:val="Titre 5 Car"/>
    <w:basedOn w:val="Policepardfaut"/>
    <w:link w:val="Titre5"/>
    <w:semiHidden/>
    <w:rsid w:val="00DA6109"/>
    <w:rPr>
      <w:rFonts w:asciiTheme="majorHAnsi" w:eastAsiaTheme="majorEastAsia" w:hAnsiTheme="majorHAnsi" w:cstheme="majorBidi"/>
      <w:color w:val="243F60" w:themeColor="accent1" w:themeShade="7F"/>
      <w:lang w:val="fr-FR" w:eastAsia="en-US"/>
    </w:rPr>
  </w:style>
  <w:style w:type="paragraph" w:styleId="NormalWeb">
    <w:name w:val="Normal (Web)"/>
    <w:basedOn w:val="Normal"/>
    <w:uiPriority w:val="99"/>
    <w:unhideWhenUsed/>
    <w:rsid w:val="004D431C"/>
    <w:pPr>
      <w:spacing w:before="100" w:beforeAutospacing="1" w:after="100" w:afterAutospacing="1"/>
      <w:ind w:left="0" w:right="0"/>
      <w:jc w:val="left"/>
    </w:pPr>
    <w:rPr>
      <w:rFonts w:ascii="Times New Roman" w:eastAsiaTheme="minorEastAsia" w:hAnsi="Times New Roman"/>
      <w:color w:val="auto"/>
      <w:sz w:val="24"/>
      <w:szCs w:val="24"/>
      <w:lang w:val="fr-BE" w:eastAsia="fr-BE"/>
    </w:rPr>
  </w:style>
  <w:style w:type="character" w:styleId="Lienhypertextesuivivisit">
    <w:name w:val="FollowedHyperlink"/>
    <w:basedOn w:val="Policepardfaut"/>
    <w:rsid w:val="008A435F"/>
    <w:rPr>
      <w:color w:val="800080" w:themeColor="followedHyperlink"/>
      <w:u w:val="single"/>
    </w:rPr>
  </w:style>
  <w:style w:type="paragraph" w:styleId="Rvision">
    <w:name w:val="Revision"/>
    <w:hidden/>
    <w:uiPriority w:val="99"/>
    <w:semiHidden/>
    <w:rsid w:val="00EA587A"/>
    <w:rPr>
      <w:rFonts w:ascii="Arial" w:hAnsi="Arial"/>
      <w:color w:val="00000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_BE_Normal"/>
    <w:qFormat/>
    <w:rsid w:val="001D5CE8"/>
    <w:pPr>
      <w:ind w:left="851" w:right="851"/>
      <w:jc w:val="both"/>
    </w:pPr>
    <w:rPr>
      <w:rFonts w:ascii="Arial" w:hAnsi="Arial"/>
      <w:color w:val="000000"/>
      <w:lang w:val="fr-FR" w:eastAsia="en-US"/>
    </w:rPr>
  </w:style>
  <w:style w:type="paragraph" w:styleId="Titre1">
    <w:name w:val="heading 1"/>
    <w:next w:val="Normal"/>
    <w:qFormat/>
    <w:rsid w:val="00B511F7"/>
    <w:pPr>
      <w:keepNext/>
      <w:spacing w:before="240" w:after="60"/>
      <w:ind w:left="851" w:right="851"/>
      <w:outlineLvl w:val="0"/>
    </w:pPr>
    <w:rPr>
      <w:rFonts w:ascii="Arial" w:hAnsi="Arial" w:cs="Arial"/>
      <w:b/>
      <w:bCs/>
      <w:color w:val="000000"/>
      <w:kern w:val="32"/>
      <w:sz w:val="32"/>
      <w:szCs w:val="32"/>
      <w:lang w:val="fr-FR" w:eastAsia="en-US"/>
    </w:rPr>
  </w:style>
  <w:style w:type="paragraph" w:styleId="Titre2">
    <w:name w:val="heading 2"/>
    <w:next w:val="Normal"/>
    <w:qFormat/>
    <w:rsid w:val="00B511F7"/>
    <w:pPr>
      <w:keepNext/>
      <w:spacing w:before="240" w:after="60"/>
      <w:ind w:left="851" w:right="851"/>
      <w:outlineLvl w:val="1"/>
    </w:pPr>
    <w:rPr>
      <w:rFonts w:ascii="Arial" w:hAnsi="Arial" w:cs="Arial"/>
      <w:b/>
      <w:bCs/>
      <w:i/>
      <w:iCs/>
      <w:color w:val="000000"/>
      <w:sz w:val="28"/>
      <w:szCs w:val="28"/>
      <w:lang w:val="fr-FR" w:eastAsia="en-US"/>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val="fr-FR" w:eastAsia="en-US"/>
    </w:rPr>
  </w:style>
  <w:style w:type="paragraph" w:styleId="Titre5">
    <w:name w:val="heading 5"/>
    <w:basedOn w:val="Normal"/>
    <w:next w:val="Normal"/>
    <w:link w:val="Titre5Car"/>
    <w:semiHidden/>
    <w:unhideWhenUsed/>
    <w:qFormat/>
    <w:rsid w:val="00DA6109"/>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8900B9"/>
    <w:pPr>
      <w:spacing w:before="360"/>
      <w:ind w:left="851" w:right="851"/>
      <w:jc w:val="center"/>
    </w:pPr>
    <w:rPr>
      <w:rFonts w:ascii="Arial" w:hAnsi="Arial"/>
      <w:b/>
      <w:caps/>
      <w:color w:val="006F90"/>
      <w:sz w:val="36"/>
      <w:szCs w:val="36"/>
      <w:lang w:val="fr-FR" w:eastAsia="en-US"/>
    </w:rPr>
  </w:style>
  <w:style w:type="paragraph" w:customStyle="1" w:styleId="BESousTitreFiche">
    <w:name w:val="_BE_Sous_Titre_Fiche"/>
    <w:rsid w:val="006804B9"/>
    <w:pPr>
      <w:spacing w:before="240" w:after="120"/>
      <w:ind w:left="851" w:right="851"/>
      <w:jc w:val="center"/>
    </w:pPr>
    <w:rPr>
      <w:rFonts w:ascii="Arial" w:hAnsi="Arial"/>
      <w:i/>
      <w:color w:val="000000"/>
      <w:sz w:val="22"/>
      <w:szCs w:val="22"/>
      <w:lang w:val="fr-FR" w:eastAsia="en-US"/>
    </w:rPr>
  </w:style>
  <w:style w:type="paragraph" w:customStyle="1" w:styleId="BETitreNiveau1">
    <w:name w:val="_BE_Titre_Niveau_1"/>
    <w:rsid w:val="001C56BE"/>
    <w:pPr>
      <w:numPr>
        <w:numId w:val="1"/>
      </w:numPr>
      <w:tabs>
        <w:tab w:val="clear" w:pos="1070"/>
        <w:tab w:val="num" w:pos="1211"/>
      </w:tabs>
      <w:spacing w:before="240" w:after="120"/>
      <w:ind w:left="1208" w:right="851" w:hanging="357"/>
    </w:pPr>
    <w:rPr>
      <w:rFonts w:ascii="Arial" w:hAnsi="Arial"/>
      <w:b/>
      <w:caps/>
      <w:color w:val="006F90"/>
      <w:sz w:val="24"/>
      <w:szCs w:val="24"/>
      <w:lang w:val="fr-FR" w:eastAsia="en-US"/>
    </w:rPr>
  </w:style>
  <w:style w:type="paragraph" w:customStyle="1" w:styleId="BETitreNiveau2">
    <w:name w:val="_BE_Titre_Niveau_2"/>
    <w:rsid w:val="001C56BE"/>
    <w:pPr>
      <w:numPr>
        <w:ilvl w:val="1"/>
        <w:numId w:val="1"/>
      </w:numPr>
      <w:spacing w:before="240" w:after="60"/>
      <w:ind w:right="851"/>
    </w:pPr>
    <w:rPr>
      <w:rFonts w:ascii="Arial" w:hAnsi="Arial"/>
      <w:b/>
      <w:caps/>
      <w:color w:val="646464"/>
      <w:lang w:val="fr-FR"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val="fr-FR" w:eastAsia="en-US"/>
    </w:rPr>
  </w:style>
  <w:style w:type="paragraph" w:styleId="En-tte">
    <w:name w:val="header"/>
    <w:aliases w:val="_BE_En tête"/>
    <w:basedOn w:val="Normal"/>
    <w:rsid w:val="00B878C8"/>
    <w:pPr>
      <w:tabs>
        <w:tab w:val="center" w:pos="4320"/>
        <w:tab w:val="right" w:pos="8640"/>
      </w:tabs>
    </w:pPr>
  </w:style>
  <w:style w:type="paragraph" w:styleId="Pieddepage">
    <w:name w:val="footer"/>
    <w:aliases w:val="_BE_Pied de page"/>
    <w:basedOn w:val="Normal"/>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val="fr-FR" w:eastAsia="en-US"/>
    </w:rPr>
  </w:style>
  <w:style w:type="paragraph" w:styleId="Listenumros">
    <w:name w:val="List Number"/>
    <w:aliases w:val="_BE_Liste numérotée"/>
    <w:rsid w:val="00E70997"/>
    <w:pPr>
      <w:numPr>
        <w:numId w:val="2"/>
      </w:numPr>
      <w:ind w:right="851"/>
    </w:pPr>
    <w:rPr>
      <w:rFonts w:ascii="Arial" w:hAnsi="Arial"/>
      <w:color w:val="000000"/>
      <w:lang w:val="fr-FR" w:eastAsia="en-US"/>
    </w:rPr>
  </w:style>
  <w:style w:type="paragraph" w:customStyle="1" w:styleId="BETitreNiveau3">
    <w:name w:val="_BE_Titre_Niveau_3"/>
    <w:rsid w:val="009E6916"/>
    <w:pPr>
      <w:spacing w:before="240"/>
      <w:ind w:left="851" w:right="851"/>
    </w:pPr>
    <w:rPr>
      <w:rFonts w:ascii="Arial" w:hAnsi="Arial"/>
      <w:b/>
      <w:color w:val="000000"/>
      <w:lang w:val="fr-FR"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val="fr-FR" w:eastAsia="en-US"/>
    </w:rPr>
  </w:style>
  <w:style w:type="paragraph" w:styleId="Listepuces">
    <w:name w:val="List Bullet"/>
    <w:aliases w:val="_BE_Liste à puces"/>
    <w:rsid w:val="00E70997"/>
    <w:pPr>
      <w:numPr>
        <w:numId w:val="3"/>
      </w:numPr>
      <w:ind w:right="851"/>
    </w:pPr>
    <w:rPr>
      <w:rFonts w:ascii="Arial" w:hAnsi="Arial"/>
      <w:color w:val="000000"/>
      <w:lang w:val="fr-FR" w:eastAsia="en-US"/>
    </w:rPr>
  </w:style>
  <w:style w:type="character" w:customStyle="1" w:styleId="BEItalique">
    <w:name w:val="_BE_Italique"/>
    <w:rsid w:val="00381B52"/>
    <w:rPr>
      <w:i/>
      <w:iCs/>
    </w:rPr>
  </w:style>
  <w:style w:type="character" w:customStyle="1" w:styleId="BEGras">
    <w:name w:val="_BE_Gras"/>
    <w:rsid w:val="003C4A53"/>
    <w:rPr>
      <w:b/>
    </w:rPr>
  </w:style>
  <w:style w:type="character" w:customStyle="1" w:styleId="BESoulign">
    <w:name w:val="_BE_Souligné"/>
    <w:rsid w:val="003C4A53"/>
    <w:rPr>
      <w:u w:val="single"/>
    </w:rPr>
  </w:style>
  <w:style w:type="character" w:styleId="Lienhypertexte">
    <w:name w:val="Hyperlink"/>
    <w:rsid w:val="00592EF2"/>
    <w:rPr>
      <w:color w:val="006F90"/>
      <w:u w:val="single"/>
    </w:rPr>
  </w:style>
  <w:style w:type="paragraph" w:styleId="Normalcentr">
    <w:name w:val="Block Text"/>
    <w:basedOn w:val="Normal"/>
    <w:rsid w:val="0026100E"/>
    <w:pPr>
      <w:tabs>
        <w:tab w:val="left" w:pos="-1134"/>
      </w:tabs>
    </w:pPr>
  </w:style>
  <w:style w:type="table" w:styleId="Grilledutableau">
    <w:name w:val="Table Grid"/>
    <w:basedOn w:val="TableauNormal"/>
    <w:uiPriority w:val="59"/>
    <w:rsid w:val="004F452C"/>
    <w:pPr>
      <w:ind w:left="851" w:righ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4136F"/>
    <w:rPr>
      <w:rFonts w:ascii="Tahoma" w:hAnsi="Tahoma" w:cs="Tahoma"/>
      <w:sz w:val="16"/>
      <w:szCs w:val="16"/>
    </w:rPr>
  </w:style>
  <w:style w:type="character" w:customStyle="1" w:styleId="TextedebullesCar">
    <w:name w:val="Texte de bulles Car"/>
    <w:link w:val="Textedebulles"/>
    <w:rsid w:val="00F4136F"/>
    <w:rPr>
      <w:rFonts w:ascii="Tahoma" w:hAnsi="Tahoma" w:cs="Tahoma"/>
      <w:color w:val="000000"/>
      <w:sz w:val="16"/>
      <w:szCs w:val="16"/>
      <w:lang w:val="fr-FR" w:eastAsia="en-US"/>
    </w:rPr>
  </w:style>
  <w:style w:type="paragraph" w:customStyle="1" w:styleId="Puce1">
    <w:name w:val="Puce 1"/>
    <w:basedOn w:val="Normal"/>
    <w:link w:val="Puce1Char"/>
    <w:uiPriority w:val="99"/>
    <w:qFormat/>
    <w:rsid w:val="00487FF2"/>
    <w:pPr>
      <w:tabs>
        <w:tab w:val="left" w:pos="709"/>
      </w:tabs>
      <w:spacing w:before="120" w:after="120"/>
      <w:ind w:left="740" w:right="0" w:hanging="360"/>
    </w:pPr>
    <w:rPr>
      <w:rFonts w:ascii="Verdana" w:hAnsi="Verdana" w:cs="Verdana"/>
      <w:color w:val="auto"/>
      <w:lang w:val="en-GB" w:eastAsia="fr-FR"/>
    </w:rPr>
  </w:style>
  <w:style w:type="character" w:styleId="Appelnotedebasdep">
    <w:name w:val="footnote reference"/>
    <w:aliases w:val="Footnote Reference_EP-LCA"/>
    <w:basedOn w:val="Policepardfaut"/>
    <w:uiPriority w:val="99"/>
    <w:rsid w:val="00487FF2"/>
    <w:rPr>
      <w:vertAlign w:val="superscript"/>
    </w:rPr>
  </w:style>
  <w:style w:type="character" w:customStyle="1" w:styleId="Puce1Char">
    <w:name w:val="Puce 1 Char"/>
    <w:link w:val="Puce1"/>
    <w:uiPriority w:val="99"/>
    <w:locked/>
    <w:rsid w:val="00487FF2"/>
    <w:rPr>
      <w:rFonts w:ascii="Verdana" w:hAnsi="Verdana" w:cs="Verdana"/>
      <w:lang w:val="en-GB" w:eastAsia="fr-FR"/>
    </w:rPr>
  </w:style>
  <w:style w:type="paragraph" w:styleId="Lgende">
    <w:name w:val="caption"/>
    <w:basedOn w:val="Normal"/>
    <w:next w:val="Normal"/>
    <w:uiPriority w:val="35"/>
    <w:qFormat/>
    <w:rsid w:val="00EC5CAC"/>
    <w:pPr>
      <w:keepNext/>
      <w:spacing w:before="120" w:after="60"/>
      <w:ind w:left="0" w:right="0"/>
      <w:jc w:val="center"/>
    </w:pPr>
    <w:rPr>
      <w:rFonts w:ascii="Verdana" w:eastAsia="Times New Roman" w:hAnsi="Verdana" w:cs="Verdana"/>
      <w:b/>
      <w:bCs/>
      <w:color w:val="auto"/>
      <w:sz w:val="18"/>
      <w:szCs w:val="18"/>
      <w:lang w:val="fr-BE"/>
    </w:rPr>
  </w:style>
  <w:style w:type="paragraph" w:customStyle="1" w:styleId="Puce3">
    <w:name w:val="Puce 3"/>
    <w:basedOn w:val="Normal"/>
    <w:qFormat/>
    <w:rsid w:val="00E41923"/>
    <w:pPr>
      <w:numPr>
        <w:numId w:val="4"/>
      </w:numPr>
      <w:spacing w:before="40" w:after="40"/>
      <w:ind w:right="0"/>
    </w:pPr>
    <w:rPr>
      <w:rFonts w:ascii="Verdana" w:hAnsi="Verdana" w:cs="Verdana"/>
      <w:color w:val="auto"/>
      <w:lang w:val="fr-BE" w:eastAsia="fr-FR"/>
    </w:rPr>
  </w:style>
  <w:style w:type="paragraph" w:styleId="Paragraphedeliste">
    <w:name w:val="List Paragraph"/>
    <w:basedOn w:val="Normal"/>
    <w:uiPriority w:val="34"/>
    <w:qFormat/>
    <w:rsid w:val="00DA4B2B"/>
    <w:pPr>
      <w:ind w:left="720"/>
      <w:contextualSpacing/>
    </w:pPr>
  </w:style>
  <w:style w:type="character" w:styleId="Marquedecommentaire">
    <w:name w:val="annotation reference"/>
    <w:basedOn w:val="Policepardfaut"/>
    <w:uiPriority w:val="99"/>
    <w:rsid w:val="000035F2"/>
    <w:rPr>
      <w:sz w:val="16"/>
      <w:szCs w:val="16"/>
    </w:rPr>
  </w:style>
  <w:style w:type="paragraph" w:styleId="Commentaire">
    <w:name w:val="annotation text"/>
    <w:basedOn w:val="Normal"/>
    <w:link w:val="CommentaireCar"/>
    <w:uiPriority w:val="99"/>
    <w:rsid w:val="000035F2"/>
    <w:pPr>
      <w:spacing w:before="120" w:after="120"/>
      <w:ind w:left="0" w:right="0"/>
    </w:pPr>
    <w:rPr>
      <w:rFonts w:ascii="Verdana" w:hAnsi="Verdana" w:cs="Verdana"/>
      <w:color w:val="auto"/>
      <w:lang w:val="en-GB" w:eastAsia="fr-FR"/>
    </w:rPr>
  </w:style>
  <w:style w:type="character" w:customStyle="1" w:styleId="CommentaireCar">
    <w:name w:val="Commentaire Car"/>
    <w:basedOn w:val="Policepardfaut"/>
    <w:link w:val="Commentaire"/>
    <w:uiPriority w:val="99"/>
    <w:rsid w:val="000035F2"/>
    <w:rPr>
      <w:rFonts w:ascii="Verdana" w:hAnsi="Verdana" w:cs="Verdana"/>
      <w:lang w:val="en-GB" w:eastAsia="fr-FR"/>
    </w:rPr>
  </w:style>
  <w:style w:type="paragraph" w:styleId="Objetducommentaire">
    <w:name w:val="annotation subject"/>
    <w:basedOn w:val="Commentaire"/>
    <w:next w:val="Commentaire"/>
    <w:link w:val="ObjetducommentaireCar"/>
    <w:rsid w:val="00186CAB"/>
    <w:pPr>
      <w:spacing w:before="0" w:after="0"/>
      <w:ind w:left="851" w:right="851"/>
    </w:pPr>
    <w:rPr>
      <w:rFonts w:ascii="Arial" w:hAnsi="Arial" w:cs="Times New Roman"/>
      <w:b/>
      <w:bCs/>
      <w:color w:val="000000"/>
      <w:lang w:val="fr-FR" w:eastAsia="en-US"/>
    </w:rPr>
  </w:style>
  <w:style w:type="character" w:customStyle="1" w:styleId="ObjetducommentaireCar">
    <w:name w:val="Objet du commentaire Car"/>
    <w:basedOn w:val="CommentaireCar"/>
    <w:link w:val="Objetducommentaire"/>
    <w:rsid w:val="00186CAB"/>
    <w:rPr>
      <w:rFonts w:ascii="Arial" w:hAnsi="Arial" w:cs="Verdana"/>
      <w:b/>
      <w:bCs/>
      <w:color w:val="000000"/>
      <w:lang w:val="fr-FR" w:eastAsia="en-US"/>
    </w:rPr>
  </w:style>
  <w:style w:type="paragraph" w:styleId="Notedebasdepage">
    <w:name w:val="footnote text"/>
    <w:aliases w:val="Footnote,Text,Text_EP-LCA,Footnote Text_EP-LCA,Footnotes,Fußnote"/>
    <w:basedOn w:val="Normal"/>
    <w:link w:val="NotedebasdepageCar"/>
    <w:uiPriority w:val="99"/>
    <w:rsid w:val="001A1150"/>
  </w:style>
  <w:style w:type="character" w:customStyle="1" w:styleId="NotedebasdepageCar">
    <w:name w:val="Note de bas de page Car"/>
    <w:aliases w:val="Footnote Car,Text Car,Text_EP-LCA Car,Footnote Text_EP-LCA Car,Footnotes Car,Fußnote Car"/>
    <w:basedOn w:val="Policepardfaut"/>
    <w:link w:val="Notedebasdepage"/>
    <w:uiPriority w:val="99"/>
    <w:rsid w:val="001A1150"/>
    <w:rPr>
      <w:rFonts w:ascii="Arial" w:hAnsi="Arial"/>
      <w:color w:val="000000"/>
      <w:lang w:val="fr-FR" w:eastAsia="en-US"/>
    </w:rPr>
  </w:style>
  <w:style w:type="paragraph" w:customStyle="1" w:styleId="Puce2">
    <w:name w:val="Puce 2"/>
    <w:basedOn w:val="Normal"/>
    <w:link w:val="Puce2Char1"/>
    <w:uiPriority w:val="99"/>
    <w:qFormat/>
    <w:rsid w:val="0013622C"/>
    <w:pPr>
      <w:numPr>
        <w:numId w:val="19"/>
      </w:numPr>
      <w:spacing w:before="60" w:after="60"/>
      <w:ind w:right="0"/>
    </w:pPr>
    <w:rPr>
      <w:rFonts w:ascii="Verdana" w:hAnsi="Verdana" w:cs="Verdana"/>
      <w:color w:val="auto"/>
      <w:lang w:val="en-GB" w:eastAsia="fr-FR"/>
    </w:rPr>
  </w:style>
  <w:style w:type="character" w:customStyle="1" w:styleId="Puce2Char1">
    <w:name w:val="Puce 2 Char1"/>
    <w:link w:val="Puce2"/>
    <w:uiPriority w:val="99"/>
    <w:locked/>
    <w:rsid w:val="0013622C"/>
    <w:rPr>
      <w:rFonts w:ascii="Verdana" w:hAnsi="Verdana" w:cs="Verdana"/>
      <w:lang w:val="en-GB" w:eastAsia="fr-FR"/>
    </w:rPr>
  </w:style>
  <w:style w:type="character" w:customStyle="1" w:styleId="Titre5Car">
    <w:name w:val="Titre 5 Car"/>
    <w:basedOn w:val="Policepardfaut"/>
    <w:link w:val="Titre5"/>
    <w:semiHidden/>
    <w:rsid w:val="00DA6109"/>
    <w:rPr>
      <w:rFonts w:asciiTheme="majorHAnsi" w:eastAsiaTheme="majorEastAsia" w:hAnsiTheme="majorHAnsi" w:cstheme="majorBidi"/>
      <w:color w:val="243F60" w:themeColor="accent1" w:themeShade="7F"/>
      <w:lang w:val="fr-FR" w:eastAsia="en-US"/>
    </w:rPr>
  </w:style>
  <w:style w:type="paragraph" w:styleId="NormalWeb">
    <w:name w:val="Normal (Web)"/>
    <w:basedOn w:val="Normal"/>
    <w:uiPriority w:val="99"/>
    <w:unhideWhenUsed/>
    <w:rsid w:val="004D431C"/>
    <w:pPr>
      <w:spacing w:before="100" w:beforeAutospacing="1" w:after="100" w:afterAutospacing="1"/>
      <w:ind w:left="0" w:right="0"/>
      <w:jc w:val="left"/>
    </w:pPr>
    <w:rPr>
      <w:rFonts w:ascii="Times New Roman" w:eastAsiaTheme="minorEastAsia" w:hAnsi="Times New Roman"/>
      <w:color w:val="auto"/>
      <w:sz w:val="24"/>
      <w:szCs w:val="24"/>
      <w:lang w:val="fr-BE" w:eastAsia="fr-BE"/>
    </w:rPr>
  </w:style>
  <w:style w:type="character" w:styleId="Lienhypertextesuivivisit">
    <w:name w:val="FollowedHyperlink"/>
    <w:basedOn w:val="Policepardfaut"/>
    <w:rsid w:val="008A435F"/>
    <w:rPr>
      <w:color w:val="800080" w:themeColor="followedHyperlink"/>
      <w:u w:val="single"/>
    </w:rPr>
  </w:style>
  <w:style w:type="paragraph" w:styleId="Rvision">
    <w:name w:val="Revision"/>
    <w:hidden/>
    <w:uiPriority w:val="99"/>
    <w:semiHidden/>
    <w:rsid w:val="00EA587A"/>
    <w:rPr>
      <w:rFonts w:ascii="Arial" w:hAnsi="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641">
      <w:bodyDiv w:val="1"/>
      <w:marLeft w:val="0"/>
      <w:marRight w:val="0"/>
      <w:marTop w:val="0"/>
      <w:marBottom w:val="0"/>
      <w:divBdr>
        <w:top w:val="none" w:sz="0" w:space="0" w:color="auto"/>
        <w:left w:val="none" w:sz="0" w:space="0" w:color="auto"/>
        <w:bottom w:val="none" w:sz="0" w:space="0" w:color="auto"/>
        <w:right w:val="none" w:sz="0" w:space="0" w:color="auto"/>
      </w:divBdr>
    </w:div>
    <w:div w:id="1077165611">
      <w:bodyDiv w:val="1"/>
      <w:marLeft w:val="0"/>
      <w:marRight w:val="0"/>
      <w:marTop w:val="0"/>
      <w:marBottom w:val="0"/>
      <w:divBdr>
        <w:top w:val="none" w:sz="0" w:space="0" w:color="auto"/>
        <w:left w:val="none" w:sz="0" w:space="0" w:color="auto"/>
        <w:bottom w:val="none" w:sz="0" w:space="0" w:color="auto"/>
        <w:right w:val="none" w:sz="0" w:space="0" w:color="auto"/>
      </w:divBdr>
    </w:div>
    <w:div w:id="13578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Afbeelding 4 : Gemiddelde verdeling van bronnen van organisch afval  (in gewicht) in de 21 bezochte etablissementen (buiten de voorraad)</a:t>
            </a:r>
          </a:p>
        </c:rich>
      </c:tx>
      <c:layout/>
      <c:overlay val="0"/>
    </c:title>
    <c:autoTitleDeleted val="0"/>
    <c:plotArea>
      <c:layout/>
      <c:pieChart>
        <c:varyColors val="1"/>
        <c:ser>
          <c:idx val="0"/>
          <c:order val="0"/>
          <c:tx>
            <c:strRef>
              <c:f>Feuil1!$A$10</c:f>
              <c:strCache>
                <c:ptCount val="1"/>
                <c:pt idx="0">
                  <c:v>Afbeelding 4 : Gemiddelde verdeling van bronnen van organisch afval  (in gewicht) in de 21 bezochte etablissementen (buiten de voorraad)</c:v>
                </c:pt>
              </c:strCache>
            </c:strRef>
          </c:tx>
          <c:dLbls>
            <c:showLegendKey val="0"/>
            <c:showVal val="1"/>
            <c:showCatName val="0"/>
            <c:showSerName val="0"/>
            <c:showPercent val="0"/>
            <c:showBubbleSize val="0"/>
            <c:showLeaderLines val="1"/>
          </c:dLbls>
          <c:cat>
            <c:strRef>
              <c:f>Feuil1!$A$11:$A$13</c:f>
              <c:strCache>
                <c:ptCount val="3"/>
                <c:pt idx="0">
                  <c:v>Teruggekeerde borden</c:v>
                </c:pt>
                <c:pt idx="1">
                  <c:v>Bereidingsafval</c:v>
                </c:pt>
                <c:pt idx="2">
                  <c:v>Bereidingsoverschotten </c:v>
                </c:pt>
              </c:strCache>
            </c:strRef>
          </c:cat>
          <c:val>
            <c:numRef>
              <c:f>Feuil1!$B$11:$B$13</c:f>
              <c:numCache>
                <c:formatCode>0%</c:formatCode>
                <c:ptCount val="3"/>
                <c:pt idx="0">
                  <c:v>0.32</c:v>
                </c:pt>
                <c:pt idx="1">
                  <c:v>0.6</c:v>
                </c:pt>
                <c:pt idx="2">
                  <c:v>0.08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Afbeelding 5 : Gemiddelde verdeling van voedselverspillingsbronnen (in gewicht) in de 21 bezochte etablissementen (buiten de voorraad)</a:t>
            </a:r>
          </a:p>
        </c:rich>
      </c:tx>
      <c:layout/>
      <c:overlay val="0"/>
    </c:title>
    <c:autoTitleDeleted val="0"/>
    <c:plotArea>
      <c:layout/>
      <c:pieChart>
        <c:varyColors val="1"/>
        <c:ser>
          <c:idx val="0"/>
          <c:order val="0"/>
          <c:dLbls>
            <c:showLegendKey val="0"/>
            <c:showVal val="1"/>
            <c:showCatName val="0"/>
            <c:showSerName val="0"/>
            <c:showPercent val="0"/>
            <c:showBubbleSize val="0"/>
            <c:showLeaderLines val="1"/>
          </c:dLbls>
          <c:cat>
            <c:strRef>
              <c:f>Feuil1!$A$16:$A$18</c:f>
              <c:strCache>
                <c:ptCount val="3"/>
                <c:pt idx="0">
                  <c:v>Teruggekeerde borden</c:v>
                </c:pt>
                <c:pt idx="1">
                  <c:v>Bereidingsafval</c:v>
                </c:pt>
                <c:pt idx="2">
                  <c:v>Bereidingsoverschotten  </c:v>
                </c:pt>
              </c:strCache>
            </c:strRef>
          </c:cat>
          <c:val>
            <c:numRef>
              <c:f>Feuil1!$B$16:$B$18</c:f>
              <c:numCache>
                <c:formatCode>0%</c:formatCode>
                <c:ptCount val="3"/>
                <c:pt idx="0">
                  <c:v>0.4</c:v>
                </c:pt>
                <c:pt idx="1">
                  <c:v>0.42</c:v>
                </c:pt>
                <c:pt idx="2">
                  <c:v>0.18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415445615314232"/>
          <c:y val="0.47320368562016557"/>
          <c:w val="0.35175699649340647"/>
          <c:h val="0.388078056054165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76BB-7F0E-435A-9EE9-841E14B4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1909</Words>
  <Characters>11391</Characters>
  <Application>Microsoft Office Word</Application>
  <DocSecurity>0</DocSecurity>
  <Lines>94</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 CHAUFFE-EAU SOLAIRE</vt:lpstr>
      <vt:lpstr>LE CHAUFFE-EAU SOLAIRE</vt:lpstr>
      <vt:lpstr>LE CHAUFFE-EAU SOLAIRE</vt:lpstr>
    </vt:vector>
  </TitlesOfParts>
  <Company>-</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CHAUFFE-EAU SOLAIRE</dc:title>
  <dc:creator>Pauline Dutron  Intertek</dc:creator>
  <cp:lastModifiedBy>Nicolas SCHERRIER</cp:lastModifiedBy>
  <cp:revision>6</cp:revision>
  <cp:lastPrinted>2013-01-14T08:22:00Z</cp:lastPrinted>
  <dcterms:created xsi:type="dcterms:W3CDTF">2015-02-09T14:23:00Z</dcterms:created>
  <dcterms:modified xsi:type="dcterms:W3CDTF">2015-06-15T09:51:00Z</dcterms:modified>
</cp:coreProperties>
</file>